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C492E">
      <w:pPr>
        <w:jc w:val="center"/>
        <w:rPr>
          <w:rFonts w:hint="eastAsia" w:ascii="黑体" w:hAnsi="黑体" w:eastAsia="黑体" w:cs="黑体"/>
          <w:b/>
          <w:bCs/>
          <w:color w:val="auto"/>
          <w:kern w:val="0"/>
          <w:sz w:val="40"/>
          <w:szCs w:val="32"/>
          <w:highlight w:val="none"/>
          <w:u w:val="none"/>
          <w:lang w:val="en-US" w:eastAsia="zh-CN" w:bidi="ar-SA"/>
        </w:rPr>
      </w:pPr>
      <w:r>
        <w:rPr>
          <w:rFonts w:hint="eastAsia" w:ascii="黑体" w:hAnsi="黑体" w:eastAsia="黑体" w:cs="黑体"/>
          <w:b/>
          <w:bCs/>
          <w:color w:val="auto"/>
          <w:kern w:val="0"/>
          <w:sz w:val="40"/>
          <w:szCs w:val="32"/>
          <w:highlight w:val="none"/>
          <w:u w:val="none"/>
          <w:lang w:val="en-US" w:eastAsia="zh-CN" w:bidi="ar-SA"/>
        </w:rPr>
        <w:t>安徽省部分高速公路81.85MW配套新能源EPC</w:t>
      </w:r>
    </w:p>
    <w:p w14:paraId="7CEAE9AF">
      <w:pPr>
        <w:jc w:val="center"/>
        <w:rPr>
          <w:rFonts w:hint="eastAsia" w:ascii="黑体" w:hAnsi="黑体" w:eastAsia="黑体" w:cs="黑体"/>
          <w:b/>
          <w:bCs/>
          <w:color w:val="auto"/>
          <w:kern w:val="0"/>
          <w:sz w:val="40"/>
          <w:szCs w:val="32"/>
          <w:highlight w:val="none"/>
          <w:u w:val="none"/>
          <w:lang w:val="en-US" w:eastAsia="zh-CN" w:bidi="ar-SA"/>
        </w:rPr>
      </w:pPr>
      <w:r>
        <w:rPr>
          <w:rFonts w:hint="eastAsia" w:ascii="黑体" w:hAnsi="黑体" w:eastAsia="黑体" w:cs="黑体"/>
          <w:b/>
          <w:bCs/>
          <w:color w:val="auto"/>
          <w:kern w:val="0"/>
          <w:sz w:val="40"/>
          <w:szCs w:val="32"/>
          <w:highlight w:val="none"/>
          <w:u w:val="none"/>
          <w:lang w:val="en-US" w:eastAsia="zh-CN" w:bidi="ar-SA"/>
        </w:rPr>
        <w:t>项目电缆、变压器、断路器、预制舱、箱变</w:t>
      </w:r>
    </w:p>
    <w:p w14:paraId="3211A349">
      <w:pPr>
        <w:jc w:val="center"/>
        <w:rPr>
          <w:rFonts w:hint="eastAsia" w:ascii="黑体" w:hAnsi="黑体" w:eastAsia="黑体" w:cs="黑体"/>
          <w:b/>
          <w:bCs/>
          <w:color w:val="auto"/>
          <w:kern w:val="0"/>
          <w:sz w:val="40"/>
          <w:szCs w:val="32"/>
          <w:highlight w:val="none"/>
          <w:u w:val="none"/>
          <w:lang w:val="en-US" w:eastAsia="zh-CN" w:bidi="ar-SA"/>
        </w:rPr>
      </w:pPr>
      <w:r>
        <w:rPr>
          <w:rFonts w:hint="eastAsia" w:ascii="黑体" w:hAnsi="黑体" w:eastAsia="黑体" w:cs="黑体"/>
          <w:b/>
          <w:bCs/>
          <w:color w:val="auto"/>
          <w:kern w:val="0"/>
          <w:sz w:val="40"/>
          <w:szCs w:val="32"/>
          <w:highlight w:val="none"/>
          <w:u w:val="none"/>
          <w:lang w:val="en-US" w:eastAsia="zh-CN" w:bidi="ar-SA"/>
        </w:rPr>
        <w:t>采购项目</w:t>
      </w:r>
    </w:p>
    <w:p w14:paraId="0214B40C">
      <w:pPr>
        <w:pStyle w:val="7"/>
        <w:rPr>
          <w:color w:val="auto"/>
        </w:rPr>
      </w:pPr>
    </w:p>
    <w:p w14:paraId="04B3ED74">
      <w:pPr>
        <w:rPr>
          <w:color w:val="auto"/>
        </w:rPr>
      </w:pPr>
    </w:p>
    <w:p w14:paraId="06AE4A48">
      <w:pPr>
        <w:pStyle w:val="7"/>
        <w:rPr>
          <w:color w:val="auto"/>
        </w:rPr>
      </w:pPr>
    </w:p>
    <w:p w14:paraId="053D79B0">
      <w:pPr>
        <w:rPr>
          <w:color w:val="auto"/>
        </w:rPr>
      </w:pPr>
    </w:p>
    <w:p w14:paraId="57C356D9">
      <w:pPr>
        <w:pStyle w:val="7"/>
        <w:rPr>
          <w:rFonts w:ascii="Times New Roman" w:hAnsi="Times New Roman" w:cs="Times New Roman"/>
          <w:color w:val="auto"/>
          <w:szCs w:val="21"/>
        </w:rPr>
      </w:pPr>
    </w:p>
    <w:p w14:paraId="2E021D61">
      <w:pPr>
        <w:pStyle w:val="8"/>
        <w:rPr>
          <w:color w:val="auto"/>
        </w:rPr>
      </w:pPr>
    </w:p>
    <w:p w14:paraId="21A2645F">
      <w:pPr>
        <w:pStyle w:val="8"/>
        <w:rPr>
          <w:color w:val="auto"/>
        </w:rPr>
      </w:pPr>
    </w:p>
    <w:p w14:paraId="7BE7AC41">
      <w:pPr>
        <w:pStyle w:val="7"/>
        <w:rPr>
          <w:rFonts w:ascii="Times New Roman" w:hAnsi="Times New Roman" w:cs="Times New Roman"/>
          <w:color w:val="auto"/>
          <w:szCs w:val="21"/>
        </w:rPr>
      </w:pPr>
    </w:p>
    <w:p w14:paraId="01C82943">
      <w:pPr>
        <w:pStyle w:val="8"/>
        <w:rPr>
          <w:rFonts w:ascii="Times New Roman" w:hAnsi="Times New Roman" w:cs="Times New Roman"/>
          <w:color w:val="auto"/>
          <w:szCs w:val="21"/>
        </w:rPr>
      </w:pPr>
    </w:p>
    <w:p w14:paraId="76E39553">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询  比  文  件</w:t>
      </w:r>
    </w:p>
    <w:p w14:paraId="13E494E2">
      <w:pPr>
        <w:spacing w:line="540" w:lineRule="exact"/>
        <w:ind w:firstLine="420"/>
        <w:rPr>
          <w:rFonts w:ascii="Times New Roman" w:hAnsi="Times New Roman" w:cs="Times New Roman"/>
          <w:color w:val="auto"/>
          <w:szCs w:val="21"/>
        </w:rPr>
      </w:pPr>
    </w:p>
    <w:p w14:paraId="433052BB">
      <w:pPr>
        <w:spacing w:line="540" w:lineRule="exact"/>
        <w:ind w:firstLine="420"/>
        <w:rPr>
          <w:rFonts w:ascii="Times New Roman" w:hAnsi="Times New Roman" w:cs="Times New Roman"/>
          <w:color w:val="auto"/>
          <w:szCs w:val="21"/>
        </w:rPr>
      </w:pPr>
    </w:p>
    <w:p w14:paraId="2FE2A55A">
      <w:pPr>
        <w:spacing w:line="540" w:lineRule="exact"/>
        <w:ind w:firstLine="420"/>
        <w:rPr>
          <w:rFonts w:ascii="Times New Roman" w:hAnsi="Times New Roman" w:cs="Times New Roman"/>
          <w:color w:val="auto"/>
          <w:szCs w:val="21"/>
        </w:rPr>
      </w:pPr>
    </w:p>
    <w:p w14:paraId="24EE4A3C">
      <w:pPr>
        <w:spacing w:line="540" w:lineRule="exact"/>
        <w:ind w:firstLine="420"/>
        <w:rPr>
          <w:rFonts w:ascii="Times New Roman" w:hAnsi="Times New Roman" w:cs="Times New Roman"/>
          <w:color w:val="auto"/>
          <w:szCs w:val="21"/>
        </w:rPr>
      </w:pPr>
    </w:p>
    <w:p w14:paraId="4DD8C081">
      <w:pPr>
        <w:spacing w:line="540" w:lineRule="exact"/>
        <w:rPr>
          <w:rFonts w:ascii="Times New Roman" w:hAnsi="Times New Roman" w:cs="Times New Roman"/>
          <w:color w:val="auto"/>
          <w:szCs w:val="21"/>
        </w:rPr>
      </w:pPr>
    </w:p>
    <w:p w14:paraId="0F5DF094">
      <w:pPr>
        <w:spacing w:line="540" w:lineRule="exact"/>
        <w:ind w:firstLine="420"/>
        <w:rPr>
          <w:rFonts w:ascii="Times New Roman" w:hAnsi="Times New Roman" w:cs="Times New Roman"/>
          <w:color w:val="auto"/>
          <w:szCs w:val="21"/>
        </w:rPr>
      </w:pPr>
    </w:p>
    <w:p w14:paraId="21E31DD5">
      <w:pPr>
        <w:spacing w:line="540" w:lineRule="exact"/>
        <w:ind w:firstLine="420"/>
        <w:rPr>
          <w:rFonts w:ascii="Times New Roman" w:hAnsi="Times New Roman" w:cs="Times New Roman"/>
          <w:color w:val="auto"/>
          <w:szCs w:val="21"/>
        </w:rPr>
      </w:pPr>
    </w:p>
    <w:p w14:paraId="20FC3379">
      <w:pPr>
        <w:spacing w:line="540" w:lineRule="exact"/>
        <w:ind w:firstLine="640"/>
        <w:rPr>
          <w:rFonts w:ascii="Times New Roman" w:hAnsi="Times New Roman" w:eastAsia="黑体" w:cs="Times New Roman"/>
          <w:color w:val="auto"/>
          <w:sz w:val="32"/>
          <w:szCs w:val="32"/>
        </w:rPr>
      </w:pPr>
    </w:p>
    <w:p w14:paraId="064F5A30">
      <w:pPr>
        <w:spacing w:line="480" w:lineRule="auto"/>
        <w:ind w:left="1896" w:leftChars="903"/>
        <w:rPr>
          <w:rFonts w:ascii="Times New Roman" w:hAnsi="Times New Roman" w:cs="Times New Roman"/>
          <w:color w:val="auto"/>
          <w:szCs w:val="21"/>
        </w:rPr>
      </w:pPr>
    </w:p>
    <w:p w14:paraId="2D43A3E1">
      <w:pPr>
        <w:snapToGrid w:val="0"/>
        <w:spacing w:line="480" w:lineRule="auto"/>
        <w:ind w:firstLine="1600" w:firstLineChars="500"/>
        <w:rPr>
          <w:rFonts w:hint="default" w:ascii="Times New Roman" w:hAnsi="Times New Roman" w:eastAsia="黑体" w:cs="Times New Roman"/>
          <w:color w:val="auto"/>
          <w:sz w:val="32"/>
          <w:szCs w:val="32"/>
          <w:u w:val="single"/>
          <w:lang w:val="en-US" w:eastAsia="zh-CN"/>
        </w:rPr>
      </w:pPr>
      <w:r>
        <w:rPr>
          <w:rFonts w:ascii="Times New Roman" w:hAnsi="Times New Roman" w:eastAsia="黑体" w:cs="Times New Roman"/>
          <w:color w:val="auto"/>
          <w:sz w:val="32"/>
          <w:szCs w:val="32"/>
        </w:rPr>
        <w:t>采</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购</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人：</w:t>
      </w:r>
      <w:r>
        <w:rPr>
          <w:rFonts w:ascii="Times New Roman" w:hAnsi="Times New Roman" w:eastAsia="黑体" w:cs="Times New Roman"/>
          <w:color w:val="auto"/>
          <w:sz w:val="32"/>
          <w:szCs w:val="32"/>
          <w:u w:val="single"/>
        </w:rPr>
        <w:t xml:space="preserve"> </w:t>
      </w:r>
      <w:r>
        <w:rPr>
          <w:rFonts w:hint="eastAsia" w:ascii="Times New Roman" w:hAnsi="Times New Roman" w:eastAsia="黑体" w:cs="Times New Roman"/>
          <w:color w:val="auto"/>
          <w:sz w:val="32"/>
          <w:szCs w:val="32"/>
          <w:u w:val="single"/>
          <w:lang w:eastAsia="zh-CN"/>
        </w:rPr>
        <w:t>安徽省经工物资有限公司</w:t>
      </w:r>
      <w:r>
        <w:rPr>
          <w:rFonts w:hint="eastAsia" w:ascii="Times New Roman" w:hAnsi="Times New Roman" w:eastAsia="黑体" w:cs="Times New Roman"/>
          <w:color w:val="auto"/>
          <w:sz w:val="32"/>
          <w:szCs w:val="32"/>
          <w:u w:val="single"/>
          <w:lang w:val="en-US" w:eastAsia="zh-CN"/>
        </w:rPr>
        <w:t xml:space="preserve"> </w:t>
      </w:r>
    </w:p>
    <w:p w14:paraId="16F2AA4F">
      <w:pPr>
        <w:snapToGrid w:val="0"/>
        <w:spacing w:line="480" w:lineRule="auto"/>
        <w:ind w:firstLine="1600" w:firstLineChars="500"/>
        <w:rPr>
          <w:rFonts w:ascii="Times New Roman" w:hAnsi="Times New Roman" w:cs="Times New Roman"/>
          <w:color w:val="FF0000"/>
          <w:sz w:val="32"/>
          <w:szCs w:val="32"/>
          <w:highlight w:val="none"/>
        </w:rPr>
      </w:pPr>
      <w:r>
        <w:rPr>
          <w:rFonts w:hint="eastAsia" w:ascii="黑体" w:hAnsi="黑体" w:eastAsia="黑体" w:cs="黑体"/>
          <w:color w:val="auto"/>
          <w:sz w:val="32"/>
          <w:szCs w:val="32"/>
          <w:highlight w:val="none"/>
        </w:rPr>
        <w:t>日    期</w:t>
      </w:r>
      <w:r>
        <w:rPr>
          <w:rFonts w:ascii="Times New Roman" w:hAnsi="Times New Roman" w:cs="Times New Roman"/>
          <w:color w:val="auto"/>
          <w:sz w:val="32"/>
          <w:szCs w:val="32"/>
          <w:highlight w:val="none"/>
        </w:rPr>
        <w:t>：</w:t>
      </w:r>
      <w:r>
        <w:rPr>
          <w:rFonts w:hint="eastAsia" w:ascii="黑体" w:hAnsi="黑体" w:eastAsia="黑体" w:cs="黑体"/>
          <w:color w:val="FF0000"/>
          <w:sz w:val="32"/>
          <w:szCs w:val="32"/>
          <w:highlight w:val="none"/>
          <w:u w:val="single"/>
          <w:lang w:val="en-US" w:eastAsia="zh-CN"/>
        </w:rPr>
        <w:t xml:space="preserve"> 2025 </w:t>
      </w:r>
      <w:r>
        <w:rPr>
          <w:rFonts w:hint="eastAsia" w:ascii="黑体" w:hAnsi="黑体" w:eastAsia="黑体" w:cs="黑体"/>
          <w:color w:val="FF0000"/>
          <w:sz w:val="32"/>
          <w:szCs w:val="32"/>
          <w:highlight w:val="none"/>
        </w:rPr>
        <w:t>年</w:t>
      </w:r>
      <w:r>
        <w:rPr>
          <w:rFonts w:hint="eastAsia" w:ascii="黑体" w:hAnsi="黑体" w:eastAsia="黑体" w:cs="黑体"/>
          <w:color w:val="FF0000"/>
          <w:sz w:val="32"/>
          <w:szCs w:val="32"/>
          <w:highlight w:val="none"/>
          <w:u w:val="single"/>
          <w:lang w:val="en-US" w:eastAsia="zh-CN"/>
        </w:rPr>
        <w:t xml:space="preserve"> 9 </w:t>
      </w:r>
      <w:r>
        <w:rPr>
          <w:rFonts w:hint="eastAsia" w:ascii="黑体" w:hAnsi="黑体" w:eastAsia="黑体" w:cs="黑体"/>
          <w:color w:val="FF0000"/>
          <w:sz w:val="32"/>
          <w:szCs w:val="32"/>
          <w:highlight w:val="none"/>
        </w:rPr>
        <w:t>月</w:t>
      </w:r>
    </w:p>
    <w:p w14:paraId="69E42FFB">
      <w:pPr>
        <w:rPr>
          <w:rFonts w:ascii="Times New Roman" w:hAnsi="Times New Roman" w:eastAsia="宋体" w:cs="Times New Roman"/>
          <w:color w:val="auto"/>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olor w:val="auto"/>
          <w:sz w:val="28"/>
          <w:szCs w:val="28"/>
        </w:rPr>
        <w:id w:val="147468455"/>
        <w15:color w:val="DBDBDB"/>
        <w:docPartObj>
          <w:docPartGallery w:val="Table of Contents"/>
          <w:docPartUnique/>
        </w:docPartObj>
      </w:sdtPr>
      <w:sdtEndPr>
        <w:rPr>
          <w:rFonts w:ascii="宋体" w:hAnsi="宋体" w:eastAsia="宋体"/>
          <w:color w:val="auto"/>
          <w:sz w:val="28"/>
          <w:szCs w:val="28"/>
        </w:rPr>
      </w:sdtEndPr>
      <w:sdtContent>
        <w:p w14:paraId="51EC9A52">
          <w:pPr>
            <w:jc w:val="center"/>
            <w:rPr>
              <w:color w:val="auto"/>
              <w:sz w:val="28"/>
              <w:szCs w:val="28"/>
            </w:rPr>
          </w:pPr>
          <w:r>
            <w:rPr>
              <w:rFonts w:ascii="宋体" w:hAnsi="宋体" w:eastAsia="宋体"/>
              <w:color w:val="auto"/>
              <w:sz w:val="28"/>
              <w:szCs w:val="28"/>
            </w:rPr>
            <w:t>目录</w:t>
          </w:r>
        </w:p>
        <w:p w14:paraId="10695B24">
          <w:pPr>
            <w:pStyle w:val="14"/>
            <w:tabs>
              <w:tab w:val="right" w:leader="dot" w:pos="8312"/>
            </w:tabs>
          </w:pPr>
          <w:r>
            <w:rPr>
              <w:rFonts w:ascii="宋体" w:hAnsi="宋体" w:eastAsia="宋体"/>
              <w:color w:val="auto"/>
            </w:rPr>
            <w:fldChar w:fldCharType="begin"/>
          </w:r>
          <w:r>
            <w:rPr>
              <w:rFonts w:ascii="宋体" w:hAnsi="宋体" w:eastAsia="宋体"/>
              <w:color w:val="auto"/>
            </w:rPr>
            <w:instrText xml:space="preserve">TOC \o "1-1" \h \u </w:instrText>
          </w:r>
          <w:r>
            <w:rPr>
              <w:rFonts w:ascii="宋体" w:hAnsi="宋体" w:eastAsia="宋体"/>
              <w:color w:val="auto"/>
            </w:rPr>
            <w:fldChar w:fldCharType="separate"/>
          </w:r>
          <w:r>
            <w:rPr>
              <w:rFonts w:ascii="宋体" w:hAnsi="宋体" w:eastAsia="宋体"/>
              <w:color w:val="auto"/>
            </w:rPr>
            <w:fldChar w:fldCharType="begin"/>
          </w:r>
          <w:r>
            <w:rPr>
              <w:rFonts w:ascii="宋体" w:hAnsi="宋体" w:eastAsia="宋体"/>
            </w:rPr>
            <w:instrText xml:space="preserve"> HYPERLINK \l _Toc4879 </w:instrText>
          </w:r>
          <w:r>
            <w:rPr>
              <w:rFonts w:ascii="宋体" w:hAnsi="宋体" w:eastAsia="宋体"/>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w:t>
          </w:r>
          <w:r>
            <w:rPr>
              <w:rFonts w:hint="eastAsia" w:ascii="Times New Roman" w:hAnsi="Times New Roman" w:eastAsia="宋体" w:cs="Times New Roman"/>
              <w:lang w:val="en-US" w:eastAsia="zh-CN"/>
            </w:rPr>
            <w:t>公告</w:t>
          </w:r>
          <w:r>
            <w:tab/>
          </w:r>
          <w:r>
            <w:fldChar w:fldCharType="begin"/>
          </w:r>
          <w:r>
            <w:instrText xml:space="preserve"> PAGEREF _Toc4879 \h </w:instrText>
          </w:r>
          <w:r>
            <w:fldChar w:fldCharType="separate"/>
          </w:r>
          <w:r>
            <w:t>3</w:t>
          </w:r>
          <w:r>
            <w:fldChar w:fldCharType="end"/>
          </w:r>
          <w:r>
            <w:rPr>
              <w:rFonts w:ascii="宋体" w:hAnsi="宋体" w:eastAsia="宋体"/>
              <w:color w:val="auto"/>
            </w:rPr>
            <w:fldChar w:fldCharType="end"/>
          </w:r>
        </w:p>
        <w:p w14:paraId="2A28F230">
          <w:pPr>
            <w:pStyle w:val="14"/>
            <w:tabs>
              <w:tab w:val="right" w:leader="dot" w:pos="8312"/>
            </w:tabs>
          </w:pPr>
          <w:r>
            <w:rPr>
              <w:rFonts w:ascii="宋体" w:hAnsi="宋体" w:eastAsia="宋体"/>
              <w:color w:val="auto"/>
            </w:rPr>
            <w:fldChar w:fldCharType="begin"/>
          </w:r>
          <w:r>
            <w:rPr>
              <w:rFonts w:ascii="宋体" w:hAnsi="宋体" w:eastAsia="宋体"/>
            </w:rPr>
            <w:instrText xml:space="preserve"> HYPERLINK \l _Toc19631 </w:instrText>
          </w:r>
          <w:r>
            <w:rPr>
              <w:rFonts w:ascii="宋体" w:hAnsi="宋体" w:eastAsia="宋体"/>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rPr>
            <w:t>供应商须知</w:t>
          </w:r>
          <w:r>
            <w:tab/>
          </w:r>
          <w:r>
            <w:fldChar w:fldCharType="begin"/>
          </w:r>
          <w:r>
            <w:instrText xml:space="preserve"> PAGEREF _Toc19631 \h </w:instrText>
          </w:r>
          <w:r>
            <w:fldChar w:fldCharType="separate"/>
          </w:r>
          <w:r>
            <w:t>7</w:t>
          </w:r>
          <w:r>
            <w:fldChar w:fldCharType="end"/>
          </w:r>
          <w:r>
            <w:rPr>
              <w:rFonts w:ascii="宋体" w:hAnsi="宋体" w:eastAsia="宋体"/>
              <w:color w:val="auto"/>
            </w:rPr>
            <w:fldChar w:fldCharType="end"/>
          </w:r>
        </w:p>
        <w:p w14:paraId="38E9972B">
          <w:pPr>
            <w:pStyle w:val="14"/>
            <w:tabs>
              <w:tab w:val="right" w:leader="dot" w:pos="8312"/>
            </w:tabs>
          </w:pPr>
          <w:r>
            <w:rPr>
              <w:rFonts w:ascii="宋体" w:hAnsi="宋体" w:eastAsia="宋体"/>
              <w:color w:val="auto"/>
            </w:rPr>
            <w:fldChar w:fldCharType="begin"/>
          </w:r>
          <w:r>
            <w:rPr>
              <w:rFonts w:ascii="宋体" w:hAnsi="宋体" w:eastAsia="宋体"/>
            </w:rPr>
            <w:instrText xml:space="preserve"> HYPERLINK \l _Toc10567 </w:instrText>
          </w:r>
          <w:r>
            <w:rPr>
              <w:rFonts w:ascii="宋体" w:hAnsi="宋体" w:eastAsia="宋体"/>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rPr>
            <w:t>评审办法</w:t>
          </w:r>
          <w:r>
            <w:tab/>
          </w:r>
          <w:r>
            <w:fldChar w:fldCharType="begin"/>
          </w:r>
          <w:r>
            <w:instrText xml:space="preserve"> PAGEREF _Toc10567 \h </w:instrText>
          </w:r>
          <w:r>
            <w:fldChar w:fldCharType="separate"/>
          </w:r>
          <w:r>
            <w:t>17</w:t>
          </w:r>
          <w:r>
            <w:fldChar w:fldCharType="end"/>
          </w:r>
          <w:r>
            <w:rPr>
              <w:rFonts w:ascii="宋体" w:hAnsi="宋体" w:eastAsia="宋体"/>
              <w:color w:val="auto"/>
            </w:rPr>
            <w:fldChar w:fldCharType="end"/>
          </w:r>
        </w:p>
        <w:p w14:paraId="2D7054ED">
          <w:pPr>
            <w:pStyle w:val="14"/>
            <w:tabs>
              <w:tab w:val="right" w:leader="dot" w:pos="8312"/>
            </w:tabs>
          </w:pPr>
          <w:r>
            <w:rPr>
              <w:rFonts w:ascii="宋体" w:hAnsi="宋体" w:eastAsia="宋体"/>
              <w:color w:val="auto"/>
            </w:rPr>
            <w:fldChar w:fldCharType="begin"/>
          </w:r>
          <w:r>
            <w:rPr>
              <w:rFonts w:ascii="宋体" w:hAnsi="宋体" w:eastAsia="宋体"/>
            </w:rPr>
            <w:instrText xml:space="preserve"> HYPERLINK \l _Toc22980 </w:instrText>
          </w:r>
          <w:r>
            <w:rPr>
              <w:rFonts w:ascii="宋体" w:hAnsi="宋体" w:eastAsia="宋体"/>
            </w:rPr>
            <w:fldChar w:fldCharType="separate"/>
          </w:r>
          <w:r>
            <w:rPr>
              <w:rFonts w:hint="eastAsia" w:ascii="Times New Roman" w:hAnsi="Times New Roman" w:eastAsia="宋体" w:cs="Times New Roman"/>
              <w:highlight w:val="none"/>
            </w:rPr>
            <w:t xml:space="preserve">第四章 </w:t>
          </w:r>
          <w:r>
            <w:rPr>
              <w:rFonts w:ascii="Times New Roman" w:hAnsi="Times New Roman" w:eastAsia="宋体" w:cs="Times New Roman"/>
              <w:highlight w:val="none"/>
            </w:rPr>
            <w:t>合同内容</w:t>
          </w:r>
          <w:r>
            <w:tab/>
          </w:r>
          <w:r>
            <w:fldChar w:fldCharType="begin"/>
          </w:r>
          <w:r>
            <w:instrText xml:space="preserve"> PAGEREF _Toc22980 \h </w:instrText>
          </w:r>
          <w:r>
            <w:fldChar w:fldCharType="separate"/>
          </w:r>
          <w:r>
            <w:t>24</w:t>
          </w:r>
          <w:r>
            <w:fldChar w:fldCharType="end"/>
          </w:r>
          <w:r>
            <w:rPr>
              <w:rFonts w:ascii="宋体" w:hAnsi="宋体" w:eastAsia="宋体"/>
              <w:color w:val="auto"/>
            </w:rPr>
            <w:fldChar w:fldCharType="end"/>
          </w:r>
        </w:p>
        <w:p w14:paraId="18D80DDA">
          <w:pPr>
            <w:pStyle w:val="14"/>
            <w:tabs>
              <w:tab w:val="right" w:leader="dot" w:pos="8312"/>
            </w:tabs>
          </w:pPr>
          <w:r>
            <w:rPr>
              <w:rFonts w:ascii="宋体" w:hAnsi="宋体" w:eastAsia="宋体"/>
              <w:color w:val="auto"/>
            </w:rPr>
            <w:fldChar w:fldCharType="begin"/>
          </w:r>
          <w:r>
            <w:rPr>
              <w:rFonts w:ascii="宋体" w:hAnsi="宋体" w:eastAsia="宋体"/>
            </w:rPr>
            <w:instrText xml:space="preserve"> HYPERLINK \l _Toc3437 </w:instrText>
          </w:r>
          <w:r>
            <w:rPr>
              <w:rFonts w:ascii="宋体" w:hAnsi="宋体" w:eastAsia="宋体"/>
            </w:rPr>
            <w:fldChar w:fldCharType="separate"/>
          </w:r>
          <w:r>
            <w:rPr>
              <w:rFonts w:hint="eastAsia" w:ascii="Times New Roman" w:hAnsi="Times New Roman" w:eastAsia="宋体" w:cs="Times New Roman"/>
              <w:lang w:val="en-US" w:eastAsia="zh-CN"/>
            </w:rPr>
            <w:t xml:space="preserve">第五章 </w:t>
          </w:r>
          <w:r>
            <w:rPr>
              <w:rFonts w:hint="eastAsia" w:ascii="Times New Roman" w:hAnsi="Times New Roman" w:eastAsia="宋体" w:cs="Times New Roman"/>
            </w:rPr>
            <w:t>供货要</w:t>
          </w:r>
          <w:r>
            <w:rPr>
              <w:rFonts w:ascii="Times New Roman" w:hAnsi="Times New Roman" w:eastAsia="宋体" w:cs="Times New Roman"/>
            </w:rPr>
            <w:t>求及清单</w:t>
          </w:r>
          <w:r>
            <w:tab/>
          </w:r>
          <w:r>
            <w:fldChar w:fldCharType="begin"/>
          </w:r>
          <w:r>
            <w:instrText xml:space="preserve"> PAGEREF _Toc3437 \h </w:instrText>
          </w:r>
          <w:r>
            <w:fldChar w:fldCharType="separate"/>
          </w:r>
          <w:r>
            <w:t>41</w:t>
          </w:r>
          <w:r>
            <w:fldChar w:fldCharType="end"/>
          </w:r>
          <w:r>
            <w:rPr>
              <w:rFonts w:ascii="宋体" w:hAnsi="宋体" w:eastAsia="宋体"/>
              <w:color w:val="auto"/>
            </w:rPr>
            <w:fldChar w:fldCharType="end"/>
          </w:r>
        </w:p>
        <w:p w14:paraId="1C022011">
          <w:pPr>
            <w:pStyle w:val="14"/>
            <w:tabs>
              <w:tab w:val="right" w:leader="dot" w:pos="8312"/>
            </w:tabs>
          </w:pPr>
          <w:r>
            <w:rPr>
              <w:rFonts w:ascii="宋体" w:hAnsi="宋体" w:eastAsia="宋体"/>
              <w:color w:val="auto"/>
            </w:rPr>
            <w:fldChar w:fldCharType="begin"/>
          </w:r>
          <w:r>
            <w:rPr>
              <w:rFonts w:ascii="宋体" w:hAnsi="宋体" w:eastAsia="宋体"/>
            </w:rPr>
            <w:instrText xml:space="preserve"> HYPERLINK \l _Toc6979 </w:instrText>
          </w:r>
          <w:r>
            <w:rPr>
              <w:rFonts w:ascii="宋体" w:hAnsi="宋体" w:eastAsia="宋体"/>
            </w:rPr>
            <w:fldChar w:fldCharType="separate"/>
          </w:r>
          <w:r>
            <w:rPr>
              <w:rFonts w:hint="eastAsia" w:ascii="Times New Roman" w:hAnsi="Times New Roman" w:eastAsia="宋体" w:cs="Times New Roman"/>
            </w:rPr>
            <w:t>第六章 响应文件格式</w:t>
          </w:r>
          <w:r>
            <w:tab/>
          </w:r>
          <w:r>
            <w:fldChar w:fldCharType="begin"/>
          </w:r>
          <w:r>
            <w:instrText xml:space="preserve"> PAGEREF _Toc6979 \h </w:instrText>
          </w:r>
          <w:r>
            <w:fldChar w:fldCharType="separate"/>
          </w:r>
          <w:r>
            <w:t>42</w:t>
          </w:r>
          <w:r>
            <w:fldChar w:fldCharType="end"/>
          </w:r>
          <w:r>
            <w:rPr>
              <w:rFonts w:ascii="宋体" w:hAnsi="宋体" w:eastAsia="宋体"/>
              <w:color w:val="auto"/>
            </w:rPr>
            <w:fldChar w:fldCharType="end"/>
          </w:r>
        </w:p>
        <w:p w14:paraId="7BCD11E0">
          <w:pPr>
            <w:jc w:val="center"/>
            <w:rPr>
              <w:rFonts w:hint="eastAsia" w:ascii="宋体" w:hAnsi="宋体" w:eastAsia="宋体"/>
              <w:color w:val="auto"/>
            </w:rPr>
          </w:pPr>
          <w:r>
            <w:rPr>
              <w:rFonts w:ascii="宋体" w:hAnsi="宋体" w:eastAsia="宋体"/>
              <w:color w:val="auto"/>
            </w:rPr>
            <w:fldChar w:fldCharType="end"/>
          </w:r>
        </w:p>
      </w:sdtContent>
    </w:sdt>
    <w:p w14:paraId="0533C63A">
      <w:pPr>
        <w:jc w:val="center"/>
        <w:rPr>
          <w:rFonts w:hint="eastAsia" w:ascii="宋体" w:hAnsi="宋体" w:eastAsia="宋体"/>
          <w:color w:val="auto"/>
        </w:rPr>
      </w:pPr>
    </w:p>
    <w:p w14:paraId="2E484F40">
      <w:pPr>
        <w:jc w:val="center"/>
        <w:rPr>
          <w:rFonts w:hint="eastAsia" w:ascii="宋体" w:hAnsi="宋体" w:eastAsia="宋体"/>
          <w:color w:val="auto"/>
        </w:rPr>
      </w:pPr>
    </w:p>
    <w:p w14:paraId="3E91C633">
      <w:pPr>
        <w:pStyle w:val="2"/>
        <w:spacing w:before="312" w:after="312"/>
        <w:rPr>
          <w:rFonts w:ascii="Times New Roman" w:hAnsi="Times New Roman" w:eastAsia="宋体" w:cs="Times New Roman"/>
          <w:color w:val="auto"/>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6FE8859B">
      <w:pPr>
        <w:pStyle w:val="2"/>
        <w:spacing w:before="312" w:after="312"/>
        <w:rPr>
          <w:rFonts w:ascii="Times New Roman" w:hAnsi="Times New Roman" w:eastAsia="宋体" w:cs="Times New Roman"/>
          <w:color w:val="auto"/>
        </w:rPr>
      </w:pPr>
      <w:bookmarkStart w:id="0" w:name="_Toc4879"/>
      <w:r>
        <w:rPr>
          <w:rFonts w:hint="eastAsia" w:ascii="Times New Roman" w:hAnsi="Times New Roman" w:eastAsia="宋体" w:cs="Times New Roman"/>
          <w:color w:val="auto"/>
          <w:lang w:val="en-US" w:eastAsia="zh-CN"/>
        </w:rPr>
        <w:t>预</w:t>
      </w:r>
      <w:r>
        <w:rPr>
          <w:rFonts w:ascii="Times New Roman" w:hAnsi="Times New Roman" w:eastAsia="宋体" w:cs="Times New Roman"/>
          <w:color w:val="auto"/>
        </w:rPr>
        <w:t>采购</w:t>
      </w:r>
      <w:r>
        <w:rPr>
          <w:rFonts w:hint="eastAsia" w:ascii="Times New Roman" w:hAnsi="Times New Roman" w:eastAsia="宋体" w:cs="Times New Roman"/>
          <w:color w:val="auto"/>
          <w:lang w:val="en-US" w:eastAsia="zh-CN"/>
        </w:rPr>
        <w:t>公告</w:t>
      </w:r>
      <w:bookmarkEnd w:id="0"/>
    </w:p>
    <w:p w14:paraId="167102C3">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u w:val="none"/>
        </w:rPr>
      </w:pPr>
      <w:bookmarkStart w:id="1" w:name="_Toc4489_WPSOffice_Level2"/>
      <w:bookmarkStart w:id="2" w:name="_Toc13871"/>
      <w:bookmarkStart w:id="3" w:name="_Toc10395_WPSOffice_Level2"/>
      <w:bookmarkStart w:id="4" w:name="_Toc525632585"/>
      <w:bookmarkStart w:id="5" w:name="_Toc6496_WPSOffice_Level2"/>
      <w:bookmarkStart w:id="6" w:name="_Toc12765"/>
      <w:bookmarkStart w:id="7" w:name="_Toc24354_WPSOffice_Level2"/>
      <w:r>
        <w:rPr>
          <w:rFonts w:ascii="Times New Roman" w:hAnsi="Times New Roman" w:eastAsia="黑体" w:cs="Times New Roman"/>
          <w:bCs/>
          <w:color w:val="auto"/>
          <w:sz w:val="22"/>
          <w:szCs w:val="15"/>
          <w:u w:val="none"/>
        </w:rPr>
        <w:t>项目简介</w:t>
      </w:r>
      <w:bookmarkEnd w:id="1"/>
      <w:bookmarkEnd w:id="2"/>
      <w:bookmarkEnd w:id="3"/>
      <w:bookmarkEnd w:id="4"/>
      <w:bookmarkEnd w:id="5"/>
      <w:bookmarkEnd w:id="6"/>
      <w:bookmarkEnd w:id="7"/>
    </w:p>
    <w:p w14:paraId="0883B0BC">
      <w:pPr>
        <w:widowControl/>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1.1项目名称：</w:t>
      </w:r>
      <w:r>
        <w:rPr>
          <w:rFonts w:hint="eastAsia" w:ascii="宋体" w:hAnsi="宋体" w:eastAsia="宋体" w:cs="宋体"/>
          <w:b w:val="0"/>
          <w:bCs/>
          <w:color w:val="auto"/>
          <w:kern w:val="2"/>
          <w:sz w:val="21"/>
          <w:szCs w:val="21"/>
          <w:u w:val="single"/>
          <w:lang w:val="en-US" w:eastAsia="zh-CN" w:bidi="ar-SA"/>
        </w:rPr>
        <w:t>安徽省部分高速公路81.85MW配套新能源EPC项目电缆、变压器、断路器、预制舱、箱变采购项目</w:t>
      </w:r>
      <w:r>
        <w:rPr>
          <w:rFonts w:hint="eastAsia" w:ascii="宋体" w:hAnsi="宋体" w:eastAsia="宋体" w:cs="宋体"/>
          <w:b w:val="0"/>
          <w:bCs/>
          <w:color w:val="auto"/>
          <w:sz w:val="21"/>
          <w:szCs w:val="21"/>
          <w:highlight w:val="none"/>
          <w:u w:val="single"/>
          <w:lang w:val="en-US" w:eastAsia="zh-CN"/>
        </w:rPr>
        <w:t>。</w:t>
      </w:r>
    </w:p>
    <w:p w14:paraId="44CFDE41">
      <w:pPr>
        <w:snapToGrid w:val="0"/>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Cs w:val="21"/>
        </w:rPr>
        <w:t>1.2 采 购 人：</w:t>
      </w:r>
      <w:r>
        <w:rPr>
          <w:rFonts w:hint="eastAsia" w:ascii="宋体" w:hAnsi="宋体" w:eastAsia="宋体" w:cs="宋体"/>
          <w:color w:val="auto"/>
          <w:sz w:val="21"/>
          <w:szCs w:val="21"/>
          <w:highlight w:val="none"/>
          <w:u w:val="single"/>
          <w:lang w:val="en-US" w:eastAsia="zh-CN"/>
        </w:rPr>
        <w:t>安徽省经工物资有限公司</w:t>
      </w:r>
      <w:r>
        <w:rPr>
          <w:rFonts w:hint="eastAsia" w:ascii="宋体" w:hAnsi="宋体" w:eastAsia="宋体" w:cs="宋体"/>
          <w:color w:val="auto"/>
          <w:sz w:val="21"/>
          <w:szCs w:val="21"/>
          <w:highlight w:val="none"/>
          <w:u w:val="single"/>
          <w:lang w:eastAsia="zh-CN"/>
        </w:rPr>
        <w:t>。</w:t>
      </w:r>
    </w:p>
    <w:p w14:paraId="42A66E46">
      <w:pPr>
        <w:snapToGrid w:val="0"/>
        <w:spacing w:line="400" w:lineRule="exact"/>
        <w:ind w:firstLine="420" w:firstLineChars="200"/>
        <w:rPr>
          <w:rFonts w:hint="default" w:ascii="宋体" w:hAnsi="宋体" w:eastAsia="宋体" w:cs="宋体"/>
          <w:color w:val="auto"/>
          <w:szCs w:val="21"/>
          <w:lang w:val="en-US"/>
        </w:rPr>
      </w:pPr>
      <w:r>
        <w:rPr>
          <w:rFonts w:hint="eastAsia" w:ascii="宋体" w:hAnsi="宋体" w:eastAsia="宋体" w:cs="宋体"/>
          <w:color w:val="auto"/>
          <w:szCs w:val="21"/>
        </w:rPr>
        <w:t>1.3 项目概况：</w:t>
      </w:r>
      <w:r>
        <w:rPr>
          <w:rFonts w:hint="eastAsia" w:ascii="宋体" w:hAnsi="宋体" w:eastAsia="宋体" w:cs="宋体"/>
          <w:b w:val="0"/>
          <w:bCs/>
          <w:color w:val="auto"/>
          <w:kern w:val="2"/>
          <w:sz w:val="21"/>
          <w:szCs w:val="21"/>
          <w:u w:val="single"/>
          <w:lang w:val="en-US" w:eastAsia="zh-CN" w:bidi="ar-SA"/>
        </w:rPr>
        <w:t>安徽省部分高速公路81.85MW配套新能源EPC项目电缆、变压器、断路器、预制舱、箱变采购项目</w:t>
      </w:r>
      <w:r>
        <w:rPr>
          <w:rFonts w:hint="eastAsia" w:ascii="宋体" w:hAnsi="宋体" w:eastAsia="宋体" w:cs="宋体"/>
          <w:b w:val="0"/>
          <w:bCs/>
          <w:color w:val="auto"/>
          <w:sz w:val="21"/>
          <w:szCs w:val="21"/>
          <w:highlight w:val="none"/>
          <w:u w:val="single"/>
          <w:lang w:val="en-US" w:eastAsia="zh-CN"/>
        </w:rPr>
        <w:t>。</w:t>
      </w:r>
    </w:p>
    <w:p w14:paraId="05E14F5F">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bookmarkStart w:id="8" w:name="_Toc18367_WPSOffice_Level2"/>
      <w:bookmarkStart w:id="9" w:name="_Toc18453"/>
      <w:bookmarkStart w:id="10" w:name="_Toc17858_WPSOffice_Level2"/>
      <w:bookmarkStart w:id="11" w:name="_Toc525632586"/>
      <w:bookmarkStart w:id="12" w:name="_Toc10274"/>
      <w:bookmarkStart w:id="13" w:name="_Toc8128_WPSOffice_Level2"/>
      <w:bookmarkStart w:id="14" w:name="_Toc23266_WPSOffice_Level2"/>
      <w:r>
        <w:rPr>
          <w:rFonts w:ascii="Times New Roman" w:hAnsi="Times New Roman" w:eastAsia="黑体" w:cs="Times New Roman"/>
          <w:bCs/>
          <w:color w:val="auto"/>
          <w:sz w:val="22"/>
          <w:szCs w:val="15"/>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bookmarkStart w:id="16" w:name="_Toc29516_WPSOffice_Level2"/>
      <w:bookmarkStart w:id="17" w:name="_Toc1622_WPSOffice_Level2"/>
      <w:bookmarkStart w:id="18" w:name="_Toc6388"/>
      <w:bookmarkStart w:id="19" w:name="_Toc31673_WPSOffice_Level2"/>
      <w:bookmarkStart w:id="20" w:name="_Toc525632587"/>
      <w:bookmarkStart w:id="21" w:name="_Toc3714"/>
      <w:bookmarkStart w:id="22" w:name="_Toc22379_WPSOffice_Level2"/>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23" w:name="_Toc23266_WPSOffice_Level3"/>
      <w:r>
        <w:rPr>
          <w:rFonts w:hint="default" w:ascii="Times New Roman" w:hAnsi="Times New Roman" w:eastAsia="宋体" w:cs="Times New Roman"/>
          <w:color w:val="auto"/>
          <w:szCs w:val="21"/>
          <w:highlight w:val="none"/>
        </w:rPr>
        <w:t>2.2 资金来源及比例：</w:t>
      </w:r>
      <w:bookmarkEnd w:id="23"/>
      <w:bookmarkStart w:id="24"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Times New Roman" w:hAnsi="Times New Roman" w:eastAsia="宋体" w:cs="Times New Roman"/>
          <w:color w:val="FF0000"/>
          <w:szCs w:val="21"/>
          <w:highlight w:val="none"/>
          <w:u w:val="single"/>
          <w:lang w:val="en-US" w:eastAsia="zh-CN"/>
        </w:rPr>
        <w:t>01包电缆品牌：亨通、中天、上上、远东、宝胜；02包变压器品牌：特变电工、特顺电工、中电电气、河南天力；03包断路器品牌：正泰、德力西、上海人民、上海良信、常熟开关；04、05包无品牌要求；具详见附件（品牌推荐表）。</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FF0000"/>
          <w:szCs w:val="21"/>
          <w:highlight w:val="none"/>
          <w:u w:val="single"/>
          <w:lang w:val="en-US" w:eastAsia="zh-CN"/>
        </w:rPr>
        <w:t xml:space="preserve"> 5个</w:t>
      </w:r>
      <w:r>
        <w:rPr>
          <w:rFonts w:hint="default" w:ascii="Times New Roman" w:hAnsi="Times New Roman" w:eastAsia="宋体" w:cs="Times New Roman"/>
          <w:color w:val="auto"/>
          <w:szCs w:val="21"/>
          <w:highlight w:val="none"/>
          <w:u w:val="single"/>
          <w:lang w:val="en-US" w:eastAsia="zh-CN"/>
        </w:rPr>
        <w:t>采购包</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24"/>
      <w:r>
        <w:rPr>
          <w:rFonts w:hint="eastAsia" w:ascii="Times New Roman" w:hAnsi="Times New Roman" w:eastAsia="宋体" w:cs="Times New Roman"/>
          <w:color w:val="auto"/>
          <w:szCs w:val="21"/>
          <w:highlight w:val="none"/>
          <w:u w:val="single"/>
          <w:lang w:val="en-US" w:eastAsia="zh-CN"/>
        </w:rPr>
        <w:t>01包</w:t>
      </w:r>
      <w:r>
        <w:rPr>
          <w:rFonts w:hint="eastAsia" w:ascii="宋体" w:hAnsi="宋体" w:eastAsia="宋体" w:cs="宋体"/>
          <w:b w:val="0"/>
          <w:bCs/>
          <w:color w:val="auto"/>
          <w:kern w:val="2"/>
          <w:sz w:val="21"/>
          <w:szCs w:val="21"/>
          <w:u w:val="single"/>
          <w:lang w:val="en-US" w:eastAsia="zh-CN" w:bidi="ar-SA"/>
        </w:rPr>
        <w:t>电缆采购限价</w:t>
      </w:r>
      <w:r>
        <w:rPr>
          <w:rFonts w:hint="eastAsia" w:ascii="Times New Roman" w:hAnsi="Times New Roman" w:cs="Times New Roman"/>
          <w:color w:val="auto"/>
          <w:szCs w:val="22"/>
          <w:highlight w:val="none"/>
          <w:u w:val="single"/>
          <w:lang w:val="en-US" w:eastAsia="zh-CN"/>
        </w:rPr>
        <w:t>人民币</w:t>
      </w:r>
      <w:r>
        <w:rPr>
          <w:rFonts w:hint="eastAsia" w:ascii="Times New Roman" w:hAnsi="Times New Roman" w:cs="Times New Roman"/>
          <w:color w:val="FF0000"/>
          <w:szCs w:val="22"/>
          <w:highlight w:val="none"/>
          <w:u w:val="single"/>
          <w:lang w:val="en-US" w:eastAsia="zh-CN"/>
        </w:rPr>
        <w:t>425.2</w:t>
      </w:r>
      <w:r>
        <w:rPr>
          <w:rFonts w:hint="eastAsia" w:ascii="Times New Roman" w:hAnsi="Times New Roman" w:cs="Times New Roman"/>
          <w:color w:val="auto"/>
          <w:szCs w:val="22"/>
          <w:highlight w:val="none"/>
          <w:u w:val="single"/>
          <w:lang w:val="en-US" w:eastAsia="zh-CN"/>
        </w:rPr>
        <w:t>万元；</w:t>
      </w:r>
      <w:r>
        <w:rPr>
          <w:rFonts w:hint="eastAsia" w:ascii="Times New Roman" w:hAnsi="Times New Roman" w:eastAsia="宋体" w:cs="Times New Roman"/>
          <w:color w:val="auto"/>
          <w:szCs w:val="21"/>
          <w:highlight w:val="none"/>
          <w:u w:val="single"/>
          <w:lang w:val="en-US" w:eastAsia="zh-CN"/>
        </w:rPr>
        <w:t>02包</w:t>
      </w:r>
      <w:r>
        <w:rPr>
          <w:rFonts w:hint="eastAsia" w:ascii="宋体" w:hAnsi="宋体" w:eastAsia="宋体" w:cs="宋体"/>
          <w:b w:val="0"/>
          <w:bCs/>
          <w:color w:val="auto"/>
          <w:kern w:val="2"/>
          <w:sz w:val="21"/>
          <w:szCs w:val="21"/>
          <w:u w:val="single"/>
          <w:lang w:val="en-US" w:eastAsia="zh-CN" w:bidi="ar-SA"/>
        </w:rPr>
        <w:t>变压器采购限价</w:t>
      </w:r>
      <w:r>
        <w:rPr>
          <w:rFonts w:hint="eastAsia" w:ascii="Times New Roman" w:hAnsi="Times New Roman" w:cs="Times New Roman"/>
          <w:color w:val="auto"/>
          <w:szCs w:val="22"/>
          <w:highlight w:val="none"/>
          <w:u w:val="single"/>
          <w:lang w:val="en-US" w:eastAsia="zh-CN"/>
        </w:rPr>
        <w:t>人民币</w:t>
      </w:r>
      <w:r>
        <w:rPr>
          <w:rFonts w:hint="eastAsia" w:ascii="Times New Roman" w:hAnsi="Times New Roman" w:cs="Times New Roman"/>
          <w:color w:val="FF0000"/>
          <w:szCs w:val="22"/>
          <w:highlight w:val="none"/>
          <w:u w:val="single"/>
          <w:lang w:val="en-US" w:eastAsia="zh-CN"/>
        </w:rPr>
        <w:t>352.1</w:t>
      </w:r>
      <w:r>
        <w:rPr>
          <w:rFonts w:hint="eastAsia" w:ascii="Times New Roman" w:hAnsi="Times New Roman" w:cs="Times New Roman"/>
          <w:color w:val="auto"/>
          <w:szCs w:val="22"/>
          <w:highlight w:val="none"/>
          <w:u w:val="single"/>
          <w:lang w:val="en-US" w:eastAsia="zh-CN"/>
        </w:rPr>
        <w:t>万元；</w:t>
      </w:r>
      <w:r>
        <w:rPr>
          <w:rFonts w:hint="eastAsia" w:ascii="Times New Roman" w:hAnsi="Times New Roman" w:eastAsia="宋体" w:cs="Times New Roman"/>
          <w:color w:val="auto"/>
          <w:szCs w:val="21"/>
          <w:highlight w:val="none"/>
          <w:u w:val="single"/>
          <w:lang w:val="en-US" w:eastAsia="zh-CN"/>
        </w:rPr>
        <w:t>03包</w:t>
      </w:r>
      <w:r>
        <w:rPr>
          <w:rFonts w:hint="eastAsia" w:ascii="宋体" w:hAnsi="宋体" w:eastAsia="宋体" w:cs="宋体"/>
          <w:b w:val="0"/>
          <w:bCs/>
          <w:color w:val="auto"/>
          <w:kern w:val="2"/>
          <w:sz w:val="21"/>
          <w:szCs w:val="21"/>
          <w:u w:val="single"/>
          <w:lang w:val="en-US" w:eastAsia="zh-CN" w:bidi="ar-SA"/>
        </w:rPr>
        <w:t>断路器采购限价</w:t>
      </w:r>
      <w:r>
        <w:rPr>
          <w:rFonts w:hint="eastAsia" w:ascii="Times New Roman" w:hAnsi="Times New Roman" w:cs="Times New Roman"/>
          <w:color w:val="auto"/>
          <w:szCs w:val="22"/>
          <w:highlight w:val="none"/>
          <w:u w:val="single"/>
          <w:lang w:val="en-US" w:eastAsia="zh-CN"/>
        </w:rPr>
        <w:t>人民币</w:t>
      </w:r>
      <w:r>
        <w:rPr>
          <w:rFonts w:hint="eastAsia" w:ascii="Times New Roman" w:hAnsi="Times New Roman" w:cs="Times New Roman"/>
          <w:color w:val="FF0000"/>
          <w:szCs w:val="22"/>
          <w:highlight w:val="none"/>
          <w:u w:val="single"/>
          <w:lang w:val="en-US" w:eastAsia="zh-CN"/>
        </w:rPr>
        <w:t>100</w:t>
      </w:r>
      <w:r>
        <w:rPr>
          <w:rFonts w:hint="eastAsia" w:ascii="Times New Roman" w:hAnsi="Times New Roman" w:cs="Times New Roman"/>
          <w:color w:val="auto"/>
          <w:szCs w:val="22"/>
          <w:highlight w:val="none"/>
          <w:u w:val="single"/>
          <w:lang w:val="en-US" w:eastAsia="zh-CN"/>
        </w:rPr>
        <w:t>万元；</w:t>
      </w:r>
      <w:r>
        <w:rPr>
          <w:rFonts w:hint="eastAsia" w:ascii="Times New Roman" w:hAnsi="Times New Roman" w:eastAsia="宋体" w:cs="Times New Roman"/>
          <w:color w:val="auto"/>
          <w:szCs w:val="21"/>
          <w:highlight w:val="none"/>
          <w:u w:val="single"/>
          <w:lang w:val="en-US" w:eastAsia="zh-CN"/>
        </w:rPr>
        <w:t>04包</w:t>
      </w:r>
      <w:r>
        <w:rPr>
          <w:rFonts w:hint="eastAsia" w:ascii="宋体" w:hAnsi="宋体" w:eastAsia="宋体" w:cs="宋体"/>
          <w:b w:val="0"/>
          <w:bCs/>
          <w:color w:val="auto"/>
          <w:kern w:val="2"/>
          <w:sz w:val="21"/>
          <w:szCs w:val="21"/>
          <w:u w:val="single"/>
          <w:lang w:val="en-US" w:eastAsia="zh-CN" w:bidi="ar-SA"/>
        </w:rPr>
        <w:t>预制舱采购限价</w:t>
      </w:r>
      <w:r>
        <w:rPr>
          <w:rFonts w:hint="eastAsia" w:ascii="Times New Roman" w:hAnsi="Times New Roman" w:cs="Times New Roman"/>
          <w:color w:val="auto"/>
          <w:szCs w:val="22"/>
          <w:highlight w:val="none"/>
          <w:u w:val="single"/>
          <w:lang w:val="en-US" w:eastAsia="zh-CN"/>
        </w:rPr>
        <w:t>人民币</w:t>
      </w:r>
      <w:r>
        <w:rPr>
          <w:rFonts w:hint="eastAsia" w:ascii="Times New Roman" w:hAnsi="Times New Roman" w:cs="Times New Roman"/>
          <w:color w:val="FF0000"/>
          <w:szCs w:val="22"/>
          <w:highlight w:val="none"/>
          <w:u w:val="single"/>
          <w:lang w:val="en-US" w:eastAsia="zh-CN"/>
        </w:rPr>
        <w:t>1130</w:t>
      </w:r>
      <w:r>
        <w:rPr>
          <w:rFonts w:hint="eastAsia" w:ascii="Times New Roman" w:hAnsi="Times New Roman" w:cs="Times New Roman"/>
          <w:color w:val="auto"/>
          <w:szCs w:val="22"/>
          <w:highlight w:val="none"/>
          <w:u w:val="single"/>
          <w:lang w:val="en-US" w:eastAsia="zh-CN"/>
        </w:rPr>
        <w:t>万元；</w:t>
      </w:r>
      <w:r>
        <w:rPr>
          <w:rFonts w:hint="eastAsia" w:ascii="Times New Roman" w:hAnsi="Times New Roman" w:eastAsia="宋体" w:cs="Times New Roman"/>
          <w:color w:val="auto"/>
          <w:szCs w:val="21"/>
          <w:highlight w:val="none"/>
          <w:u w:val="single"/>
          <w:lang w:val="en-US" w:eastAsia="zh-CN"/>
        </w:rPr>
        <w:t>05包</w:t>
      </w:r>
      <w:r>
        <w:rPr>
          <w:rFonts w:hint="eastAsia" w:ascii="宋体" w:hAnsi="宋体" w:eastAsia="宋体" w:cs="宋体"/>
          <w:b w:val="0"/>
          <w:bCs/>
          <w:color w:val="auto"/>
          <w:kern w:val="2"/>
          <w:sz w:val="21"/>
          <w:szCs w:val="21"/>
          <w:u w:val="single"/>
          <w:lang w:val="en-US" w:eastAsia="zh-CN" w:bidi="ar-SA"/>
        </w:rPr>
        <w:t>箱变采购限价</w:t>
      </w:r>
      <w:r>
        <w:rPr>
          <w:rFonts w:hint="eastAsia" w:ascii="Times New Roman" w:hAnsi="Times New Roman" w:cs="Times New Roman"/>
          <w:color w:val="auto"/>
          <w:szCs w:val="22"/>
          <w:highlight w:val="none"/>
          <w:u w:val="single"/>
          <w:lang w:val="en-US" w:eastAsia="zh-CN"/>
        </w:rPr>
        <w:t>人民币</w:t>
      </w:r>
      <w:r>
        <w:rPr>
          <w:rFonts w:hint="eastAsia" w:ascii="Times New Roman" w:hAnsi="Times New Roman" w:cs="Times New Roman"/>
          <w:color w:val="FF0000"/>
          <w:szCs w:val="22"/>
          <w:highlight w:val="none"/>
          <w:u w:val="single"/>
          <w:lang w:val="en-US" w:eastAsia="zh-CN"/>
        </w:rPr>
        <w:t>444.97</w:t>
      </w:r>
      <w:r>
        <w:rPr>
          <w:rFonts w:hint="eastAsia" w:ascii="Times New Roman" w:hAnsi="Times New Roman" w:cs="Times New Roman"/>
          <w:color w:val="auto"/>
          <w:szCs w:val="22"/>
          <w:highlight w:val="none"/>
          <w:u w:val="single"/>
          <w:lang w:val="en-US" w:eastAsia="zh-CN"/>
        </w:rPr>
        <w:t>万元。</w:t>
      </w:r>
    </w:p>
    <w:p w14:paraId="43DDA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kern w:val="0"/>
          <w:sz w:val="21"/>
          <w:szCs w:val="21"/>
          <w:highlight w:val="red"/>
          <w:u w:val="none"/>
          <w:lang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eastAsia" w:ascii="宋体" w:hAnsi="宋体" w:eastAsia="宋体" w:cs="宋体"/>
          <w:color w:val="FF0000"/>
          <w:sz w:val="21"/>
          <w:szCs w:val="21"/>
          <w:highlight w:val="yellow"/>
          <w:u w:val="single"/>
          <w:lang w:val="en-US" w:eastAsia="zh-CN"/>
        </w:rPr>
        <w:t xml:space="preserve"> 2025年9月至2026年1月期间，</w:t>
      </w:r>
      <w:r>
        <w:rPr>
          <w:rFonts w:hint="eastAsia" w:ascii="宋体" w:hAnsi="宋体" w:eastAsia="宋体" w:cs="宋体"/>
          <w:color w:val="FF0000"/>
          <w:sz w:val="21"/>
          <w:szCs w:val="21"/>
          <w:highlight w:val="none"/>
          <w:u w:val="single"/>
          <w:lang w:val="en-US" w:eastAsia="zh-CN"/>
        </w:rPr>
        <w:t>采购人以电子文件等形式，提出供货要求并按采购人规定时间送货到位</w:t>
      </w:r>
      <w:r>
        <w:rPr>
          <w:rFonts w:hint="eastAsia" w:ascii="宋体" w:hAnsi="宋体" w:eastAsia="宋体" w:cs="宋体"/>
          <w:color w:val="FF0000"/>
          <w:kern w:val="0"/>
          <w:sz w:val="21"/>
          <w:szCs w:val="21"/>
          <w:highlight w:val="none"/>
          <w:u w:val="single"/>
          <w:lang w:val="en-US" w:eastAsia="zh-CN"/>
        </w:rPr>
        <w:t>（具体根据实际情况安排进度）</w:t>
      </w:r>
      <w:r>
        <w:rPr>
          <w:rFonts w:hint="eastAsia" w:ascii="Times New Roman" w:hAnsi="Times New Roman" w:eastAsia="宋体" w:cs="Times New Roman"/>
          <w:color w:val="auto"/>
          <w:szCs w:val="21"/>
          <w:highlight w:val="none"/>
          <w:u w:val="single"/>
          <w:lang w:val="en-US" w:eastAsia="zh-CN"/>
        </w:rPr>
        <w:t>。</w:t>
      </w:r>
    </w:p>
    <w:p w14:paraId="588E52DA">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FF0000"/>
          <w:szCs w:val="21"/>
          <w:highlight w:val="none"/>
          <w:u w:val="single"/>
          <w:lang w:val="en-US" w:eastAsia="zh-CN"/>
        </w:rPr>
        <w:t>采购方指定的安徽省部分高速项目地址（</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FF0000"/>
          <w:szCs w:val="21"/>
          <w:highlight w:val="none"/>
          <w:u w:val="single"/>
          <w:lang w:val="en-US" w:eastAsia="zh-CN"/>
        </w:rPr>
        <w:t>）</w:t>
      </w:r>
      <w:r>
        <w:rPr>
          <w:rFonts w:hint="eastAsia" w:ascii="宋体" w:hAnsi="宋体" w:eastAsia="宋体" w:cs="宋体"/>
          <w:color w:val="FF0000"/>
          <w:kern w:val="0"/>
          <w:sz w:val="21"/>
          <w:szCs w:val="21"/>
          <w:highlight w:val="none"/>
          <w:u w:val="single"/>
          <w:lang w:val="en-US" w:eastAsia="zh-CN"/>
        </w:rPr>
        <w:t xml:space="preserve"> </w:t>
      </w:r>
      <w:r>
        <w:rPr>
          <w:rFonts w:hint="eastAsia" w:ascii="Times New Roman" w:hAnsi="Times New Roman" w:eastAsia="宋体" w:cs="Times New Roman"/>
          <w:color w:val="auto"/>
          <w:szCs w:val="21"/>
          <w:highlight w:val="none"/>
          <w:u w:val="none"/>
          <w:lang w:val="en-US" w:eastAsia="zh-CN"/>
        </w:rPr>
        <w:t>。</w:t>
      </w:r>
    </w:p>
    <w:p w14:paraId="61C364AD">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ascii="Times New Roman" w:hAnsi="Times New Roman" w:eastAsia="黑体" w:cs="Times New Roman"/>
          <w:bCs/>
          <w:color w:val="auto"/>
          <w:sz w:val="22"/>
          <w:szCs w:val="15"/>
        </w:rPr>
        <w:t>供应商资格条件</w:t>
      </w:r>
      <w:bookmarkEnd w:id="16"/>
      <w:bookmarkEnd w:id="17"/>
      <w:bookmarkEnd w:id="18"/>
      <w:bookmarkEnd w:id="19"/>
      <w:bookmarkEnd w:id="20"/>
      <w:bookmarkEnd w:id="21"/>
      <w:bookmarkEnd w:id="22"/>
      <w:r>
        <w:rPr>
          <w:rFonts w:hint="eastAsia" w:ascii="Times New Roman" w:hAnsi="Times New Roman" w:eastAsia="黑体" w:cs="Times New Roman"/>
          <w:bCs/>
          <w:color w:val="auto"/>
          <w:sz w:val="22"/>
          <w:szCs w:val="15"/>
        </w:rPr>
        <w:t xml:space="preserve"> </w:t>
      </w:r>
    </w:p>
    <w:p w14:paraId="1FFA3750">
      <w:pPr>
        <w:snapToGrid w:val="0"/>
        <w:spacing w:line="440" w:lineRule="exact"/>
        <w:ind w:firstLine="420" w:firstLineChars="200"/>
        <w:rPr>
          <w:rFonts w:hint="eastAsia" w:ascii="宋体" w:hAnsi="宋体" w:eastAsia="宋体" w:cs="宋体"/>
          <w:color w:val="auto"/>
          <w:szCs w:val="22"/>
        </w:rPr>
      </w:pPr>
      <w:bookmarkStart w:id="25" w:name="_Toc2996_WPSOffice_Level2"/>
      <w:bookmarkStart w:id="26" w:name="_Toc29452_WPSOffice_Level2"/>
      <w:bookmarkStart w:id="27" w:name="_Toc25666_WPSOffice_Level2"/>
      <w:bookmarkStart w:id="28" w:name="_Toc1994"/>
      <w:bookmarkStart w:id="29" w:name="_Toc525632588"/>
      <w:bookmarkStart w:id="30" w:name="_Toc4751"/>
      <w:bookmarkStart w:id="31" w:name="_Toc4109_WPSOffice_Level2"/>
      <w:r>
        <w:rPr>
          <w:rFonts w:hint="eastAsia" w:ascii="宋体" w:hAnsi="宋体" w:eastAsia="宋体" w:cs="宋体"/>
          <w:color w:val="auto"/>
          <w:szCs w:val="22"/>
        </w:rPr>
        <w:t>3.1 本次采购要求供应商须同时具备：</w:t>
      </w:r>
    </w:p>
    <w:p w14:paraId="7ED83F0D">
      <w:pPr>
        <w:snapToGrid w:val="0"/>
        <w:spacing w:line="440" w:lineRule="exact"/>
        <w:ind w:firstLine="420" w:firstLineChars="200"/>
        <w:rPr>
          <w:rFonts w:hint="eastAsia" w:ascii="宋体" w:hAnsi="宋体" w:cs="宋体"/>
          <w:color w:val="auto"/>
          <w:sz w:val="21"/>
          <w:szCs w:val="22"/>
          <w:highlight w:val="none"/>
        </w:rPr>
      </w:pPr>
      <w:r>
        <w:rPr>
          <w:rFonts w:hint="eastAsia" w:ascii="Times New Roman" w:hAnsi="Times New Roman" w:cs="Times New Roman"/>
          <w:color w:val="auto"/>
          <w:szCs w:val="22"/>
          <w:highlight w:val="none"/>
        </w:rPr>
        <w:t>（1）资质最低要求：</w:t>
      </w:r>
    </w:p>
    <w:p w14:paraId="7BAFE549">
      <w:pPr>
        <w:numPr>
          <w:ilvl w:val="0"/>
          <w:numId w:val="0"/>
        </w:numPr>
        <w:snapToGrid w:val="0"/>
        <w:spacing w:beforeLines="0" w:afterLines="0" w:line="400" w:lineRule="exact"/>
        <w:ind w:firstLine="420" w:firstLineChars="200"/>
        <w:rPr>
          <w:rFonts w:hint="eastAsia" w:ascii="宋体" w:hAnsi="宋体" w:cs="宋体" w:eastAsiaTheme="minorEastAsia"/>
          <w:color w:val="auto"/>
          <w:sz w:val="21"/>
          <w:szCs w:val="22"/>
          <w:highlight w:val="none"/>
          <w:lang w:val="en-US" w:eastAsia="zh-CN"/>
        </w:rPr>
      </w:pPr>
      <w:r>
        <w:rPr>
          <w:rFonts w:hint="eastAsia" w:ascii="Times New Roman" w:hAnsi="Times New Roman"/>
          <w:color w:val="auto"/>
          <w:sz w:val="21"/>
          <w:szCs w:val="22"/>
          <w:highlight w:val="none"/>
          <w:lang w:val="en-US" w:eastAsia="zh-CN"/>
        </w:rPr>
        <w:t>①</w:t>
      </w:r>
      <w:r>
        <w:rPr>
          <w:rFonts w:hint="eastAsia" w:ascii="宋体" w:hAnsi="宋体" w:cs="宋体"/>
          <w:color w:val="auto"/>
          <w:sz w:val="21"/>
          <w:szCs w:val="22"/>
          <w:highlight w:val="none"/>
        </w:rPr>
        <w:t xml:space="preserve">具备独立法人资格，持有有效的营业执照。 </w:t>
      </w:r>
      <w:r>
        <w:rPr>
          <w:rFonts w:hint="eastAsia" w:ascii="宋体" w:hAnsi="宋体" w:cs="宋体"/>
          <w:color w:val="auto"/>
          <w:sz w:val="21"/>
          <w:szCs w:val="22"/>
          <w:highlight w:val="none"/>
          <w:lang w:val="en-US" w:eastAsia="zh-CN"/>
        </w:rPr>
        <w:t xml:space="preserve"> </w:t>
      </w:r>
    </w:p>
    <w:p w14:paraId="545B83FE">
      <w:pPr>
        <w:numPr>
          <w:ilvl w:val="0"/>
          <w:numId w:val="0"/>
        </w:numPr>
        <w:snapToGrid w:val="0"/>
        <w:spacing w:beforeLines="0" w:afterLines="0" w:line="400" w:lineRule="exact"/>
        <w:ind w:firstLine="420" w:firstLineChars="200"/>
        <w:rPr>
          <w:rFonts w:hint="eastAsia" w:ascii="宋体" w:hAnsi="宋体" w:cs="宋体" w:eastAsiaTheme="minorEastAsia"/>
          <w:color w:val="auto"/>
          <w:sz w:val="21"/>
          <w:szCs w:val="22"/>
          <w:highlight w:val="none"/>
          <w:lang w:eastAsia="zh-CN"/>
        </w:rPr>
      </w:pPr>
      <w:r>
        <w:rPr>
          <w:rFonts w:hint="eastAsia" w:ascii="宋体" w:hAnsi="宋体" w:cs="宋体"/>
          <w:color w:val="auto"/>
          <w:sz w:val="21"/>
          <w:szCs w:val="22"/>
          <w:highlight w:val="none"/>
        </w:rPr>
        <w:t>②</w:t>
      </w:r>
      <w:r>
        <w:rPr>
          <w:rFonts w:hint="eastAsia" w:ascii="宋体" w:hAnsi="宋体" w:cs="宋体"/>
          <w:color w:val="auto"/>
          <w:sz w:val="21"/>
          <w:szCs w:val="22"/>
          <w:highlight w:val="none"/>
          <w:lang w:eastAsia="zh-CN"/>
        </w:rPr>
        <w:t>制造商/厂家参与询比的，应具备有生产、销售采购人所需材料的能力；经销商/代理商参加询比的，应具备销售采购人所需材料的能力（提供所投产品业绩进行证明）。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rPr>
      </w:pPr>
      <w:r>
        <w:rPr>
          <w:rFonts w:hint="eastAsia" w:ascii="Times New Roman" w:hAnsi="Times New Roman"/>
          <w:color w:val="auto"/>
          <w:sz w:val="21"/>
          <w:szCs w:val="22"/>
        </w:rPr>
        <w:t>（</w:t>
      </w:r>
      <w:r>
        <w:rPr>
          <w:rFonts w:hint="eastAsia" w:ascii="Times New Roman" w:hAnsi="Times New Roman" w:cs="Times New Roman" w:eastAsiaTheme="minorEastAsia"/>
          <w:color w:val="auto"/>
          <w:szCs w:val="22"/>
          <w:lang w:val="en-US" w:eastAsia="zh-CN"/>
        </w:rPr>
        <w:t>2</w:t>
      </w:r>
      <w:r>
        <w:rPr>
          <w:rFonts w:hint="eastAsia" w:ascii="Times New Roman" w:hAnsi="Times New Roman" w:cs="Times New Roman" w:eastAsiaTheme="minorEastAsia"/>
          <w:color w:val="auto"/>
          <w:szCs w:val="22"/>
        </w:rPr>
        <w:t>）</w:t>
      </w:r>
      <w:r>
        <w:rPr>
          <w:rFonts w:hint="default" w:ascii="Times New Roman" w:hAnsi="Times New Roman" w:cs="Times New Roman" w:eastAsiaTheme="minorEastAsia"/>
          <w:color w:val="auto"/>
          <w:szCs w:val="22"/>
        </w:rPr>
        <w:t>业绩最低要求：</w:t>
      </w:r>
    </w:p>
    <w:p w14:paraId="34666DF2">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01包</w:t>
      </w:r>
      <w:r>
        <w:rPr>
          <w:rFonts w:hint="eastAsia" w:ascii="宋体" w:hAnsi="宋体" w:eastAsia="宋体" w:cs="宋体"/>
          <w:b w:val="0"/>
          <w:bCs/>
          <w:color w:val="auto"/>
          <w:kern w:val="2"/>
          <w:sz w:val="21"/>
          <w:szCs w:val="21"/>
          <w:u w:val="none"/>
          <w:lang w:val="en-US" w:eastAsia="zh-CN" w:bidi="ar-SA"/>
        </w:rPr>
        <w:t>电缆业绩要求：</w:t>
      </w: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default" w:ascii="Times New Roman" w:hAnsi="Times New Roman" w:cs="Times New Roman" w:eastAsiaTheme="minorEastAsia"/>
          <w:b w:val="0"/>
          <w:bCs w:val="0"/>
          <w:color w:val="auto"/>
          <w:highlight w:val="none"/>
          <w:u w:val="single"/>
          <w:lang w:val="en-US" w:eastAsia="zh-CN"/>
        </w:rPr>
        <w:t>以来，单项合同额不低于</w:t>
      </w:r>
      <w:r>
        <w:rPr>
          <w:rFonts w:hint="eastAsia" w:ascii="Times New Roman" w:hAnsi="Times New Roman" w:cs="Times New Roman"/>
          <w:b w:val="0"/>
          <w:bCs w:val="0"/>
          <w:color w:val="FF0000"/>
          <w:highlight w:val="none"/>
          <w:u w:val="single"/>
          <w:lang w:val="en-US" w:eastAsia="zh-CN"/>
        </w:rPr>
        <w:t>250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电缆</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23372B84">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w:t>
      </w:r>
      <w:r>
        <w:rPr>
          <w:rFonts w:hint="eastAsia" w:ascii="Times New Roman" w:hAnsi="Times New Roman" w:eastAsia="宋体" w:cs="Times New Roman"/>
          <w:color w:val="auto"/>
          <w:szCs w:val="21"/>
          <w:highlight w:val="none"/>
          <w:u w:val="none"/>
          <w:lang w:val="en-US" w:eastAsia="zh-CN"/>
        </w:rPr>
        <w:t>2包</w:t>
      </w:r>
      <w:r>
        <w:rPr>
          <w:rFonts w:hint="eastAsia" w:ascii="宋体" w:hAnsi="宋体" w:eastAsia="宋体" w:cs="宋体"/>
          <w:b w:val="0"/>
          <w:bCs/>
          <w:color w:val="auto"/>
          <w:kern w:val="2"/>
          <w:sz w:val="21"/>
          <w:szCs w:val="21"/>
          <w:highlight w:val="none"/>
          <w:u w:val="none"/>
          <w:lang w:val="en-US" w:eastAsia="zh-CN" w:bidi="ar-SA"/>
        </w:rPr>
        <w:t>变压器业绩要求：</w:t>
      </w: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default" w:ascii="Times New Roman" w:hAnsi="Times New Roman" w:cs="Times New Roman" w:eastAsiaTheme="minorEastAsia"/>
          <w:b w:val="0"/>
          <w:bCs w:val="0"/>
          <w:color w:val="auto"/>
          <w:highlight w:val="none"/>
          <w:u w:val="single"/>
          <w:lang w:val="en-US" w:eastAsia="zh-CN"/>
        </w:rPr>
        <w:t>以来，单项合同额不低于</w:t>
      </w:r>
      <w:r>
        <w:rPr>
          <w:rFonts w:hint="eastAsia" w:ascii="Times New Roman" w:hAnsi="Times New Roman" w:cs="Times New Roman"/>
          <w:b w:val="0"/>
          <w:bCs w:val="0"/>
          <w:color w:val="FF0000"/>
          <w:highlight w:val="none"/>
          <w:u w:val="single"/>
          <w:lang w:val="en-US" w:eastAsia="zh-CN"/>
        </w:rPr>
        <w:t xml:space="preserve">   200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变压器</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1AF30E95">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w:t>
      </w:r>
      <w:r>
        <w:rPr>
          <w:rFonts w:hint="eastAsia" w:ascii="Times New Roman" w:hAnsi="Times New Roman" w:eastAsia="宋体" w:cs="Times New Roman"/>
          <w:color w:val="auto"/>
          <w:szCs w:val="21"/>
          <w:highlight w:val="none"/>
          <w:u w:val="none"/>
          <w:lang w:val="en-US" w:eastAsia="zh-CN"/>
        </w:rPr>
        <w:t>3包</w:t>
      </w:r>
      <w:r>
        <w:rPr>
          <w:rFonts w:hint="eastAsia" w:ascii="宋体" w:hAnsi="宋体" w:eastAsia="宋体" w:cs="宋体"/>
          <w:b w:val="0"/>
          <w:bCs/>
          <w:color w:val="auto"/>
          <w:kern w:val="2"/>
          <w:sz w:val="21"/>
          <w:szCs w:val="21"/>
          <w:highlight w:val="none"/>
          <w:u w:val="none"/>
          <w:lang w:val="en-US" w:eastAsia="zh-CN" w:bidi="ar-SA"/>
        </w:rPr>
        <w:t>断路器业绩要求：</w:t>
      </w: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default" w:ascii="Times New Roman" w:hAnsi="Times New Roman" w:cs="Times New Roman" w:eastAsiaTheme="minorEastAsia"/>
          <w:b w:val="0"/>
          <w:bCs w:val="0"/>
          <w:color w:val="auto"/>
          <w:highlight w:val="none"/>
          <w:u w:val="single"/>
          <w:lang w:val="en-US" w:eastAsia="zh-CN"/>
        </w:rPr>
        <w:t>以来，单项合同额不低于</w:t>
      </w:r>
      <w:r>
        <w:rPr>
          <w:rFonts w:hint="eastAsia" w:ascii="Times New Roman" w:hAnsi="Times New Roman" w:cs="Times New Roman"/>
          <w:b w:val="0"/>
          <w:bCs w:val="0"/>
          <w:color w:val="FF0000"/>
          <w:highlight w:val="none"/>
          <w:u w:val="single"/>
          <w:lang w:val="en-US" w:eastAsia="zh-CN"/>
        </w:rPr>
        <w:t xml:space="preserve">   60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断路器</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585C2754">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ascii="Times New Roman" w:hAnsi="Times New Roman" w:cs="Times New Roman"/>
          <w:b w:val="0"/>
          <w:bCs w:val="0"/>
          <w:color w:val="auto"/>
          <w:highlight w:val="none"/>
          <w:u w:val="none"/>
          <w:lang w:val="en-US" w:eastAsia="zh-CN"/>
        </w:rPr>
        <w:t>0</w:t>
      </w:r>
      <w:r>
        <w:rPr>
          <w:rFonts w:hint="eastAsia" w:ascii="Times New Roman" w:hAnsi="Times New Roman" w:eastAsia="宋体" w:cs="Times New Roman"/>
          <w:color w:val="auto"/>
          <w:szCs w:val="21"/>
          <w:highlight w:val="none"/>
          <w:u w:val="none"/>
          <w:lang w:val="en-US" w:eastAsia="zh-CN"/>
        </w:rPr>
        <w:t>4包</w:t>
      </w:r>
      <w:r>
        <w:rPr>
          <w:rFonts w:hint="eastAsia" w:ascii="宋体" w:hAnsi="宋体" w:eastAsia="宋体" w:cs="宋体"/>
          <w:b w:val="0"/>
          <w:bCs/>
          <w:color w:val="auto"/>
          <w:kern w:val="2"/>
          <w:sz w:val="21"/>
          <w:szCs w:val="21"/>
          <w:highlight w:val="none"/>
          <w:u w:val="none"/>
          <w:lang w:val="en-US" w:eastAsia="zh-CN" w:bidi="ar-SA"/>
        </w:rPr>
        <w:t>预制舱业绩要求：</w:t>
      </w:r>
      <w:r>
        <w:rPr>
          <w:rFonts w:hint="default" w:ascii="Times New Roman" w:hAnsi="Times New Roman" w:cs="Times New Roman" w:eastAsiaTheme="minorEastAsia"/>
          <w:b w:val="0"/>
          <w:bCs w:val="0"/>
          <w:color w:val="auto"/>
          <w:highlight w:val="none"/>
          <w:u w:val="single"/>
          <w:lang w:val="en-US" w:eastAsia="zh-CN"/>
        </w:rPr>
        <w:t>至少提供</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default" w:ascii="Times New Roman" w:hAnsi="Times New Roman" w:cs="Times New Roman" w:eastAsiaTheme="minorEastAsia"/>
          <w:b w:val="0"/>
          <w:bCs w:val="0"/>
          <w:color w:val="auto"/>
          <w:highlight w:val="none"/>
          <w:u w:val="single"/>
          <w:lang w:val="en-US" w:eastAsia="zh-CN"/>
        </w:rPr>
        <w:t>以来，单项合同额不低于</w:t>
      </w:r>
      <w:r>
        <w:rPr>
          <w:rFonts w:hint="eastAsia" w:ascii="Times New Roman" w:hAnsi="Times New Roman" w:cs="Times New Roman"/>
          <w:b w:val="0"/>
          <w:bCs w:val="0"/>
          <w:color w:val="FF0000"/>
          <w:highlight w:val="none"/>
          <w:u w:val="single"/>
          <w:lang w:val="en-US" w:eastAsia="zh-CN"/>
        </w:rPr>
        <w:t xml:space="preserve">   100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预制舱</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744BD286">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eastAsia" w:ascii="Times New Roman" w:hAnsi="Times New Roman" w:cs="Times New Roman"/>
          <w:b w:val="0"/>
          <w:bCs w:val="0"/>
          <w:color w:val="auto"/>
          <w:highlight w:val="none"/>
          <w:u w:val="none"/>
          <w:lang w:val="en-US" w:eastAsia="zh-CN"/>
        </w:rPr>
        <w:t>0</w:t>
      </w:r>
      <w:r>
        <w:rPr>
          <w:rFonts w:hint="eastAsia" w:ascii="Times New Roman" w:hAnsi="Times New Roman" w:eastAsia="宋体" w:cs="Times New Roman"/>
          <w:color w:val="auto"/>
          <w:szCs w:val="21"/>
          <w:highlight w:val="none"/>
          <w:u w:val="none"/>
          <w:lang w:val="en-US" w:eastAsia="zh-CN"/>
        </w:rPr>
        <w:t>5包</w:t>
      </w:r>
      <w:r>
        <w:rPr>
          <w:rFonts w:hint="eastAsia" w:ascii="宋体" w:hAnsi="宋体" w:eastAsia="宋体" w:cs="宋体"/>
          <w:b w:val="0"/>
          <w:bCs/>
          <w:color w:val="auto"/>
          <w:kern w:val="2"/>
          <w:sz w:val="21"/>
          <w:szCs w:val="21"/>
          <w:highlight w:val="none"/>
          <w:u w:val="none"/>
          <w:lang w:val="en-US" w:eastAsia="zh-CN" w:bidi="ar-SA"/>
        </w:rPr>
        <w:t>箱变业绩要求：</w:t>
      </w:r>
      <w:r>
        <w:rPr>
          <w:rFonts w:hint="default" w:ascii="Times New Roman" w:hAnsi="Times New Roman" w:cs="Times New Roman" w:eastAsiaTheme="minorEastAsia"/>
          <w:b w:val="0"/>
          <w:bCs w:val="0"/>
          <w:color w:val="auto"/>
          <w:highlight w:val="none"/>
          <w:u w:val="single"/>
          <w:lang w:val="en-US" w:eastAsia="zh-CN"/>
        </w:rPr>
        <w:t>至少提供</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default" w:ascii="Times New Roman" w:hAnsi="Times New Roman" w:cs="Times New Roman" w:eastAsiaTheme="minorEastAsia"/>
          <w:b w:val="0"/>
          <w:bCs w:val="0"/>
          <w:color w:val="auto"/>
          <w:highlight w:val="none"/>
          <w:u w:val="single"/>
          <w:lang w:val="en-US" w:eastAsia="zh-CN"/>
        </w:rPr>
        <w:t>以来，单项合同额不低于</w:t>
      </w:r>
      <w:r>
        <w:rPr>
          <w:rFonts w:hint="eastAsia" w:ascii="Times New Roman" w:hAnsi="Times New Roman" w:cs="Times New Roman"/>
          <w:b w:val="0"/>
          <w:bCs w:val="0"/>
          <w:color w:val="FF0000"/>
          <w:highlight w:val="none"/>
          <w:u w:val="single"/>
          <w:lang w:val="en-US" w:eastAsia="zh-CN"/>
        </w:rPr>
        <w:t>100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箱变</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7FBD7FF1">
      <w:pPr>
        <w:numPr>
          <w:ilvl w:val="255"/>
          <w:numId w:val="0"/>
        </w:numPr>
        <w:snapToGrid w:val="0"/>
        <w:spacing w:line="440" w:lineRule="exact"/>
        <w:ind w:firstLine="420" w:firstLineChars="200"/>
        <w:rPr>
          <w:color w:val="auto"/>
        </w:rPr>
      </w:pPr>
      <w:r>
        <w:rPr>
          <w:rFonts w:hint="eastAsia"/>
          <w:color w:val="auto"/>
        </w:rPr>
        <w:t>业绩证明材料要求：</w:t>
      </w:r>
    </w:p>
    <w:p w14:paraId="2B7648B6">
      <w:pPr>
        <w:pStyle w:val="7"/>
        <w:spacing w:after="0" w:line="440" w:lineRule="exact"/>
        <w:ind w:firstLine="420" w:firstLineChars="200"/>
        <w:rPr>
          <w:color w:val="auto"/>
        </w:rPr>
      </w:pPr>
      <w:r>
        <w:rPr>
          <w:rFonts w:hint="eastAsia"/>
          <w:color w:val="auto"/>
        </w:rPr>
        <w:t xml:space="preserve">①合同协议书扫描件；                                                                                                                                                                                                                                                                                                                                                                                                                                                                                                                                                                                                                                                                                                                                                                                                                                                                                                                                                                                                                                                                                                                                                                                                                                                                                                                                                                                                                                                                                                                                                                                                                                                                                                                                                                                                                                                                                                                                                                                                                                                                                                                                                                          </w:t>
      </w:r>
    </w:p>
    <w:p w14:paraId="73D02590">
      <w:pPr>
        <w:pStyle w:val="7"/>
        <w:spacing w:after="0" w:line="440" w:lineRule="exact"/>
        <w:ind w:firstLine="420" w:firstLineChars="200"/>
        <w:rPr>
          <w:color w:val="auto"/>
        </w:rPr>
      </w:pPr>
      <w:r>
        <w:rPr>
          <w:rFonts w:hint="eastAsia"/>
          <w:color w:val="auto"/>
        </w:rPr>
        <w:t>②若合同协议书中不能明确反映出采购文件所要求内容的（如合同金额、合同签订时间、供货内容等），则须提供业主单位（甲方）出具加盖公章的证明材料复印件。</w:t>
      </w:r>
    </w:p>
    <w:p w14:paraId="133DEF0A">
      <w:pPr>
        <w:snapToGrid w:val="0"/>
        <w:spacing w:line="440" w:lineRule="exact"/>
        <w:ind w:firstLine="420" w:firstLineChars="200"/>
        <w:rPr>
          <w:rFonts w:ascii="Times New Roman" w:hAnsi="Times New Roman" w:cs="Times New Roman"/>
          <w:color w:val="auto"/>
          <w:szCs w:val="22"/>
        </w:rPr>
      </w:pPr>
      <w:r>
        <w:rPr>
          <w:rFonts w:hint="eastAsia"/>
          <w:color w:val="auto"/>
        </w:rPr>
        <w:t>③若同一业绩合同中包含多项材料（设备），则合同中应能体现资格要求中所需材料（设备）的内容和金额，无法体现的，须提供供货单据、供货发票、业主验收单等能证明</w:t>
      </w:r>
      <w:r>
        <w:rPr>
          <w:rFonts w:hint="eastAsia" w:ascii="Times New Roman" w:hAnsi="Times New Roman" w:cs="Times New Roman"/>
          <w:color w:val="auto"/>
          <w:szCs w:val="22"/>
        </w:rPr>
        <w:t>相关评审因素的证明材料，否则业绩不予认可。</w:t>
      </w:r>
    </w:p>
    <w:p w14:paraId="2C4C8A55">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rPr>
        <w:t>（3）信誉要求最低要求：</w:t>
      </w:r>
    </w:p>
    <w:p w14:paraId="0F639CB3">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①</w:t>
      </w:r>
      <w:r>
        <w:rPr>
          <w:rFonts w:hint="eastAsia" w:ascii="Times New Roman" w:hAnsi="Times New Roman" w:cs="Times New Roman"/>
          <w:color w:val="auto"/>
          <w:szCs w:val="22"/>
        </w:rPr>
        <w:t>未被责令停业，暂扣或吊销执照，或吊销资质证书；</w:t>
      </w:r>
    </w:p>
    <w:p w14:paraId="7B7F2CE1">
      <w:pPr>
        <w:snapToGrid w:val="0"/>
        <w:spacing w:line="440" w:lineRule="exact"/>
        <w:ind w:firstLine="420" w:firstLineChars="200"/>
        <w:rPr>
          <w:color w:val="auto"/>
        </w:rPr>
      </w:pPr>
      <w:r>
        <w:rPr>
          <w:rFonts w:hint="eastAsia" w:ascii="Times New Roman" w:hAnsi="Times New Roman" w:cs="Times New Roman"/>
          <w:color w:val="auto"/>
          <w:szCs w:val="22"/>
        </w:rPr>
        <w:t>②未进入清算程序，或被宣告破产，或其他丧失履约能力的情形；</w:t>
      </w:r>
    </w:p>
    <w:p w14:paraId="58E9BA3C">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③</w:t>
      </w:r>
      <w:r>
        <w:rPr>
          <w:rFonts w:ascii="Times New Roman" w:hAnsi="Times New Roman" w:cs="Times New Roman"/>
          <w:color w:val="auto"/>
          <w:szCs w:val="22"/>
        </w:rPr>
        <w:t>在国家企业信用信息公示系统（www.gsxt.gov.cn）中</w:t>
      </w:r>
      <w:r>
        <w:rPr>
          <w:rFonts w:hint="eastAsia" w:ascii="Times New Roman" w:hAnsi="Times New Roman" w:cs="Times New Roman"/>
          <w:color w:val="auto"/>
          <w:szCs w:val="22"/>
        </w:rPr>
        <w:t>未</w:t>
      </w:r>
      <w:r>
        <w:rPr>
          <w:rFonts w:ascii="Times New Roman" w:hAnsi="Times New Roman" w:cs="Times New Roman"/>
          <w:color w:val="auto"/>
          <w:szCs w:val="22"/>
        </w:rPr>
        <w:t>被列入严重违法失信企业名单；</w:t>
      </w:r>
    </w:p>
    <w:p w14:paraId="199A6B70">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④</w:t>
      </w:r>
      <w:r>
        <w:rPr>
          <w:rFonts w:ascii="Times New Roman" w:hAnsi="Times New Roman" w:cs="Times New Roman"/>
          <w:color w:val="auto"/>
          <w:szCs w:val="22"/>
        </w:rPr>
        <w:t>在“信用中国”网站（www.creditchina.gov.cn）中</w:t>
      </w:r>
      <w:r>
        <w:rPr>
          <w:rFonts w:hint="eastAsia" w:ascii="Times New Roman" w:hAnsi="Times New Roman" w:cs="Times New Roman"/>
          <w:color w:val="auto"/>
          <w:szCs w:val="22"/>
        </w:rPr>
        <w:t>未</w:t>
      </w:r>
      <w:r>
        <w:rPr>
          <w:rFonts w:ascii="Times New Roman" w:hAnsi="Times New Roman" w:cs="Times New Roman"/>
          <w:color w:val="auto"/>
          <w:szCs w:val="22"/>
        </w:rPr>
        <w:t>被列入失信被执行人名单；</w:t>
      </w:r>
    </w:p>
    <w:p w14:paraId="541860C8">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⑤</w:t>
      </w:r>
      <w:r>
        <w:rPr>
          <w:rFonts w:ascii="Times New Roman" w:hAnsi="Times New Roman" w:cs="Times New Roman"/>
          <w:color w:val="auto"/>
          <w:szCs w:val="22"/>
        </w:rPr>
        <w:t>在近三年内（自</w:t>
      </w:r>
      <w:r>
        <w:rPr>
          <w:rFonts w:hint="eastAsia" w:ascii="Times New Roman" w:hAnsi="Times New Roman" w:cs="Times New Roman"/>
          <w:color w:val="auto"/>
          <w:szCs w:val="22"/>
        </w:rPr>
        <w:t>响应文件递交截止之日</w:t>
      </w:r>
      <w:r>
        <w:rPr>
          <w:rFonts w:ascii="Times New Roman" w:hAnsi="Times New Roman" w:cs="Times New Roman"/>
          <w:color w:val="auto"/>
          <w:szCs w:val="22"/>
        </w:rPr>
        <w:t>向前追溯3年）供应商或其法定代表人、拟委任的项目经理</w:t>
      </w:r>
      <w:r>
        <w:rPr>
          <w:rFonts w:hint="eastAsia" w:ascii="Times New Roman" w:hAnsi="Times New Roman" w:cs="Times New Roman"/>
          <w:color w:val="auto"/>
          <w:szCs w:val="22"/>
        </w:rPr>
        <w:t>（如有）未</w:t>
      </w:r>
      <w:r>
        <w:rPr>
          <w:rFonts w:ascii="Times New Roman" w:hAnsi="Times New Roman" w:cs="Times New Roman"/>
          <w:color w:val="auto"/>
          <w:szCs w:val="22"/>
        </w:rPr>
        <w:t>有行贿犯罪行为。</w:t>
      </w:r>
    </w:p>
    <w:p w14:paraId="4645C23B">
      <w:pPr>
        <w:snapToGrid w:val="0"/>
        <w:spacing w:line="440" w:lineRule="exact"/>
        <w:ind w:firstLine="420" w:firstLineChars="200"/>
        <w:rPr>
          <w:rFonts w:ascii="Times New Roman" w:hAnsi="Times New Roman"/>
          <w:color w:val="auto"/>
        </w:rPr>
      </w:pPr>
      <w:r>
        <w:rPr>
          <w:rFonts w:hint="eastAsia" w:ascii="Times New Roman" w:hAnsi="Times New Roman"/>
          <w:color w:val="auto"/>
        </w:rPr>
        <w:t>⑥其他要求：</w:t>
      </w:r>
      <w:r>
        <w:rPr>
          <w:rFonts w:hint="eastAsia" w:ascii="Times New Roman" w:hAnsi="Times New Roman"/>
          <w:color w:val="auto"/>
          <w:u w:val="single"/>
        </w:rPr>
        <w:t xml:space="preserve">        /        </w:t>
      </w:r>
      <w:r>
        <w:rPr>
          <w:rFonts w:hint="eastAsia" w:ascii="Times New Roman" w:hAnsi="Times New Roman"/>
          <w:color w:val="auto"/>
        </w:rPr>
        <w:t>。</w:t>
      </w:r>
    </w:p>
    <w:p w14:paraId="7D3928A6">
      <w:pPr>
        <w:snapToGrid w:val="0"/>
        <w:spacing w:line="440" w:lineRule="exact"/>
        <w:ind w:firstLine="420" w:firstLineChars="200"/>
        <w:rPr>
          <w:rFonts w:ascii="Times New Roman" w:hAnsi="Times New Roman" w:cs="Times New Roman"/>
          <w:color w:val="auto"/>
          <w:sz w:val="18"/>
          <w:szCs w:val="21"/>
        </w:rPr>
      </w:pPr>
      <w:r>
        <w:rPr>
          <w:rFonts w:ascii="Times New Roman" w:hAnsi="Times New Roman" w:cs="Times New Roman"/>
          <w:color w:val="auto"/>
          <w:szCs w:val="22"/>
        </w:rPr>
        <w:t>3.2 联合体：本次采购</w:t>
      </w:r>
      <w:r>
        <w:rPr>
          <w:rFonts w:hint="eastAsia" w:ascii="Times New Roman" w:hAnsi="Times New Roman" w:cs="Times New Roman"/>
          <w:color w:val="auto"/>
          <w:szCs w:val="22"/>
        </w:rPr>
        <w:t>不接受</w:t>
      </w:r>
      <w:r>
        <w:rPr>
          <w:rFonts w:ascii="Times New Roman" w:hAnsi="Times New Roman" w:cs="Times New Roman"/>
          <w:color w:val="auto"/>
          <w:szCs w:val="22"/>
        </w:rPr>
        <w:t>联合体报价。</w:t>
      </w:r>
    </w:p>
    <w:p w14:paraId="14D952A2">
      <w:pPr>
        <w:snapToGrid w:val="0"/>
        <w:spacing w:line="440" w:lineRule="exact"/>
        <w:ind w:firstLine="420" w:firstLineChars="200"/>
        <w:rPr>
          <w:rFonts w:ascii="Times New Roman" w:hAnsi="Times New Roman" w:cs="Times New Roman"/>
          <w:color w:val="auto"/>
          <w:sz w:val="18"/>
          <w:szCs w:val="21"/>
        </w:rPr>
      </w:pPr>
      <w:r>
        <w:rPr>
          <w:rFonts w:ascii="Times New Roman" w:hAnsi="Times New Roman" w:cs="Times New Roman"/>
          <w:color w:val="auto"/>
          <w:szCs w:val="22"/>
        </w:rPr>
        <w:t>3.3 单位负责人为同一人或者存在控股、管理关系的不同单位，不得同时参加同一合同包报价，否则相关响应文件均无效。</w:t>
      </w:r>
    </w:p>
    <w:p w14:paraId="7043BABC">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询比文件</w:t>
      </w:r>
      <w:r>
        <w:rPr>
          <w:rFonts w:ascii="Times New Roman" w:hAnsi="Times New Roman" w:eastAsia="黑体" w:cs="Times New Roman"/>
          <w:bCs/>
          <w:color w:val="auto"/>
          <w:sz w:val="22"/>
          <w:szCs w:val="15"/>
        </w:rPr>
        <w:t>的获取</w:t>
      </w:r>
      <w:bookmarkEnd w:id="25"/>
      <w:bookmarkEnd w:id="26"/>
      <w:bookmarkEnd w:id="27"/>
      <w:bookmarkEnd w:id="28"/>
      <w:bookmarkEnd w:id="29"/>
      <w:bookmarkEnd w:id="30"/>
      <w:bookmarkEnd w:id="31"/>
    </w:p>
    <w:p w14:paraId="0F5871EC">
      <w:pPr>
        <w:snapToGrid w:val="0"/>
        <w:spacing w:line="440" w:lineRule="exact"/>
        <w:ind w:firstLine="420" w:firstLineChars="200"/>
        <w:rPr>
          <w:rFonts w:ascii="Times New Roman" w:hAnsi="Times New Roman" w:cs="Times New Roman"/>
          <w:color w:val="auto"/>
          <w:szCs w:val="22"/>
        </w:rPr>
      </w:pPr>
      <w:bookmarkStart w:id="32" w:name="_Toc726"/>
      <w:bookmarkStart w:id="33" w:name="_Toc525632589"/>
      <w:r>
        <w:rPr>
          <w:rFonts w:hint="eastAsia" w:ascii="Times New Roman" w:hAnsi="Times New Roman" w:cs="Times New Roman"/>
          <w:color w:val="auto"/>
          <w:szCs w:val="22"/>
        </w:rPr>
        <w:t>供应商须在“</w:t>
      </w:r>
      <w:r>
        <w:rPr>
          <w:rFonts w:hint="eastAsia" w:ascii="Times New Roman" w:hAnsi="Times New Roman" w:cs="Times New Roman"/>
          <w:color w:val="auto"/>
          <w:szCs w:val="22"/>
          <w:lang w:eastAsia="zh-CN"/>
        </w:rPr>
        <w:t>安徽交控建设工程集团有限公司</w:t>
      </w:r>
      <w:r>
        <w:rPr>
          <w:rFonts w:hint="eastAsia" w:ascii="Times New Roman" w:hAnsi="Times New Roman" w:cs="Times New Roman"/>
          <w:color w:val="auto"/>
          <w:szCs w:val="22"/>
        </w:rPr>
        <w:t>”（网址：www.ahjggroup.com）“招标公告”栏目了解项目信息、下载询价文件及其他资料（含澄清、答疑及相关补充文件）。咨询电话：0551-62265211、13866130523。采购人不再另行书面通知，供应商应及时关注、查阅。因未及时查看导致不利后果的，责任自负。</w:t>
      </w:r>
    </w:p>
    <w:p w14:paraId="7E72C4F8">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highlight w:val="none"/>
        </w:rPr>
      </w:pPr>
      <w:r>
        <w:rPr>
          <w:rFonts w:hint="eastAsia" w:ascii="Times New Roman" w:hAnsi="Times New Roman" w:eastAsia="黑体" w:cs="Times New Roman"/>
          <w:bCs/>
          <w:color w:val="auto"/>
          <w:sz w:val="22"/>
          <w:szCs w:val="15"/>
          <w:highlight w:val="none"/>
        </w:rPr>
        <w:t>响应文件的递交</w:t>
      </w:r>
      <w:bookmarkEnd w:id="32"/>
      <w:bookmarkEnd w:id="33"/>
    </w:p>
    <w:p w14:paraId="13FB571B">
      <w:pPr>
        <w:widowControl/>
        <w:spacing w:line="400" w:lineRule="exact"/>
        <w:ind w:firstLine="420" w:firstLineChars="200"/>
        <w:rPr>
          <w:rFonts w:ascii="Times New Roman" w:hAnsi="Times New Roman" w:eastAsia="宋体" w:cs="Times New Roman"/>
          <w:color w:val="auto"/>
          <w:szCs w:val="22"/>
        </w:rPr>
      </w:pPr>
      <w:bookmarkStart w:id="34" w:name="_Toc22719"/>
      <w:bookmarkStart w:id="35" w:name="_Toc525632591"/>
      <w:r>
        <w:rPr>
          <w:rFonts w:hint="eastAsia" w:ascii="宋体" w:hAnsi="宋体" w:eastAsia="宋体" w:cs="宋体"/>
          <w:color w:val="auto"/>
          <w:kern w:val="0"/>
          <w:szCs w:val="21"/>
          <w:highlight w:val="none"/>
        </w:rPr>
        <w:t>响应文件递交的截止时间为</w:t>
      </w:r>
      <w:r>
        <w:rPr>
          <w:rFonts w:hint="eastAsia" w:ascii="Times New Roman" w:hAnsi="Times New Roman" w:eastAsia="宋体" w:cs="Times New Roman"/>
          <w:b/>
          <w:bCs/>
          <w:color w:val="FF0000"/>
          <w:kern w:val="0"/>
          <w:sz w:val="21"/>
          <w:szCs w:val="21"/>
          <w:highlight w:val="none"/>
          <w:u w:val="single"/>
          <w:lang w:val="en-US" w:eastAsia="zh-CN" w:bidi="ar-SA"/>
        </w:rPr>
        <w:t xml:space="preserve"> 2025 </w:t>
      </w:r>
      <w:r>
        <w:rPr>
          <w:rFonts w:hint="default" w:ascii="Times New Roman" w:hAnsi="Times New Roman" w:eastAsia="宋体" w:cs="Times New Roman"/>
          <w:b/>
          <w:bCs/>
          <w:color w:val="FF0000"/>
          <w:kern w:val="0"/>
          <w:sz w:val="21"/>
          <w:szCs w:val="21"/>
          <w:highlight w:val="none"/>
          <w:lang w:val="en-US" w:eastAsia="zh-CN" w:bidi="ar-SA"/>
        </w:rPr>
        <w:t>年</w:t>
      </w:r>
      <w:r>
        <w:rPr>
          <w:rFonts w:hint="eastAsia" w:ascii="Times New Roman" w:hAnsi="Times New Roman" w:eastAsia="宋体" w:cs="Times New Roman"/>
          <w:b/>
          <w:bCs/>
          <w:color w:val="FF0000"/>
          <w:kern w:val="0"/>
          <w:sz w:val="21"/>
          <w:szCs w:val="21"/>
          <w:highlight w:val="none"/>
          <w:u w:val="single"/>
          <w:lang w:val="en-US" w:eastAsia="zh-CN" w:bidi="ar-SA"/>
        </w:rPr>
        <w:t xml:space="preserve"> 9 </w:t>
      </w:r>
      <w:r>
        <w:rPr>
          <w:rFonts w:hint="default" w:ascii="Times New Roman" w:hAnsi="Times New Roman" w:eastAsia="宋体" w:cs="Times New Roman"/>
          <w:b/>
          <w:bCs/>
          <w:color w:val="FF0000"/>
          <w:kern w:val="0"/>
          <w:sz w:val="21"/>
          <w:szCs w:val="21"/>
          <w:highlight w:val="none"/>
          <w:lang w:val="en-US" w:eastAsia="zh-CN" w:bidi="ar-SA"/>
        </w:rPr>
        <w:t>月</w:t>
      </w:r>
      <w:r>
        <w:rPr>
          <w:rFonts w:hint="eastAsia" w:ascii="Times New Roman" w:hAnsi="Times New Roman" w:eastAsia="宋体" w:cs="Times New Roman"/>
          <w:b/>
          <w:bCs/>
          <w:color w:val="FF0000"/>
          <w:kern w:val="0"/>
          <w:sz w:val="21"/>
          <w:szCs w:val="21"/>
          <w:highlight w:val="none"/>
          <w:u w:val="single"/>
          <w:lang w:val="en-US" w:eastAsia="zh-CN" w:bidi="ar-SA"/>
        </w:rPr>
        <w:t xml:space="preserve"> 29 </w:t>
      </w:r>
      <w:r>
        <w:rPr>
          <w:rFonts w:hint="default" w:ascii="Times New Roman" w:hAnsi="Times New Roman" w:eastAsia="宋体" w:cs="Times New Roman"/>
          <w:b/>
          <w:bCs/>
          <w:color w:val="FF0000"/>
          <w:kern w:val="0"/>
          <w:sz w:val="21"/>
          <w:szCs w:val="21"/>
          <w:highlight w:val="none"/>
          <w:lang w:val="en-US" w:eastAsia="zh-CN" w:bidi="ar-SA"/>
        </w:rPr>
        <w:t>日</w:t>
      </w:r>
      <w:r>
        <w:rPr>
          <w:rFonts w:hint="eastAsia" w:ascii="Times New Roman" w:hAnsi="Times New Roman" w:eastAsia="宋体" w:cs="Times New Roman"/>
          <w:b/>
          <w:bCs/>
          <w:color w:val="FF0000"/>
          <w:kern w:val="0"/>
          <w:sz w:val="21"/>
          <w:szCs w:val="21"/>
          <w:highlight w:val="none"/>
          <w:u w:val="single"/>
          <w:lang w:val="en-US" w:eastAsia="zh-CN" w:bidi="ar-SA"/>
        </w:rPr>
        <w:t xml:space="preserve"> 14 </w:t>
      </w:r>
      <w:r>
        <w:rPr>
          <w:rFonts w:hint="default" w:ascii="Times New Roman" w:hAnsi="Times New Roman" w:eastAsia="宋体" w:cs="Times New Roman"/>
          <w:b/>
          <w:bCs/>
          <w:color w:val="FF0000"/>
          <w:kern w:val="0"/>
          <w:sz w:val="21"/>
          <w:szCs w:val="21"/>
          <w:highlight w:val="none"/>
          <w:lang w:val="en-US" w:eastAsia="zh-CN" w:bidi="ar-SA"/>
        </w:rPr>
        <w:t>时</w:t>
      </w:r>
      <w:r>
        <w:rPr>
          <w:rFonts w:hint="eastAsia" w:ascii="Times New Roman" w:hAnsi="Times New Roman" w:eastAsia="宋体" w:cs="Times New Roman"/>
          <w:b/>
          <w:bCs/>
          <w:color w:val="FF0000"/>
          <w:kern w:val="0"/>
          <w:sz w:val="21"/>
          <w:szCs w:val="21"/>
          <w:highlight w:val="none"/>
          <w:u w:val="single"/>
          <w:lang w:val="en-US" w:eastAsia="zh-CN" w:bidi="ar-SA"/>
        </w:rPr>
        <w:t>30</w:t>
      </w:r>
      <w:r>
        <w:rPr>
          <w:rFonts w:hint="default" w:ascii="Times New Roman" w:hAnsi="Times New Roman" w:eastAsia="宋体" w:cs="Times New Roman"/>
          <w:b/>
          <w:bCs/>
          <w:color w:val="FF0000"/>
          <w:kern w:val="0"/>
          <w:sz w:val="21"/>
          <w:szCs w:val="21"/>
          <w:highlight w:val="none"/>
          <w:lang w:val="en-US" w:eastAsia="zh-CN" w:bidi="ar-SA"/>
        </w:rPr>
        <w:t>分</w:t>
      </w:r>
      <w:r>
        <w:rPr>
          <w:rFonts w:hint="eastAsia" w:ascii="宋体" w:hAnsi="宋体" w:eastAsia="宋体" w:cs="宋体"/>
          <w:color w:val="auto"/>
          <w:kern w:val="0"/>
          <w:szCs w:val="21"/>
          <w:highlight w:val="none"/>
        </w:rPr>
        <w:t>，供应商的</w:t>
      </w:r>
      <w:r>
        <w:rPr>
          <w:rFonts w:hint="eastAsia" w:ascii="宋体" w:hAnsi="宋体" w:eastAsia="宋体" w:cs="宋体"/>
          <w:color w:val="auto"/>
          <w:kern w:val="0"/>
          <w:szCs w:val="21"/>
        </w:rPr>
        <w:t>法定代表人或其授权代理人应在文件递交截止时间前，将响应文件递交至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w:t>
      </w:r>
      <w:r>
        <w:rPr>
          <w:rFonts w:hint="eastAsia" w:ascii="Times New Roman" w:hAnsi="Times New Roman" w:eastAsia="宋体" w:cs="Times New Roman"/>
          <w:color w:val="auto"/>
          <w:kern w:val="2"/>
          <w:sz w:val="21"/>
          <w:szCs w:val="21"/>
          <w:highlight w:val="none"/>
          <w:u w:val="single"/>
          <w:lang w:val="en-US" w:eastAsia="zh-CN" w:bidi="ar-SA"/>
        </w:rPr>
        <w:t>008</w:t>
      </w:r>
      <w:r>
        <w:rPr>
          <w:rFonts w:hint="default" w:ascii="Times New Roman" w:hAnsi="Times New Roman" w:eastAsia="宋体" w:cs="Times New Roman"/>
          <w:color w:val="auto"/>
          <w:kern w:val="2"/>
          <w:sz w:val="21"/>
          <w:szCs w:val="21"/>
          <w:highlight w:val="none"/>
          <w:u w:val="single"/>
          <w:lang w:val="en-US" w:eastAsia="zh-CN" w:bidi="ar-SA"/>
        </w:rPr>
        <w:t>室</w:t>
      </w:r>
      <w:r>
        <w:rPr>
          <w:rFonts w:hint="eastAsia" w:ascii="宋体" w:hAnsi="宋体" w:eastAsia="宋体" w:cs="宋体"/>
          <w:color w:val="auto"/>
          <w:szCs w:val="21"/>
        </w:rPr>
        <w:t>。</w:t>
      </w:r>
    </w:p>
    <w:p w14:paraId="2C4967C6">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ascii="Times New Roman" w:hAnsi="Times New Roman" w:eastAsia="宋体" w:cs="Times New Roman"/>
          <w:color w:val="auto"/>
          <w:szCs w:val="22"/>
        </w:rPr>
        <w:t>响应文件的递交截止时间到后，采购人将于</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安徽省合肥市包河区西藏路1588号高速时代广场C1栋10楼1012室职工书屋</w:t>
      </w:r>
      <w:r>
        <w:rPr>
          <w:rFonts w:ascii="Times New Roman" w:hAnsi="Times New Roman" w:eastAsia="宋体" w:cs="Times New Roman"/>
          <w:color w:val="auto"/>
          <w:szCs w:val="22"/>
        </w:rPr>
        <w:t>（地点）</w:t>
      </w:r>
      <w:r>
        <w:rPr>
          <w:rFonts w:hint="eastAsia" w:ascii="Times New Roman" w:hAnsi="Times New Roman" w:eastAsia="宋体" w:cs="Times New Roman"/>
          <w:color w:val="auto"/>
          <w:szCs w:val="22"/>
        </w:rPr>
        <w:t>现场</w:t>
      </w:r>
      <w:r>
        <w:rPr>
          <w:rFonts w:ascii="Times New Roman" w:hAnsi="Times New Roman" w:eastAsia="宋体" w:cs="Times New Roman"/>
          <w:color w:val="auto"/>
          <w:szCs w:val="22"/>
        </w:rPr>
        <w:t>组织进行响应文件的启</w:t>
      </w:r>
      <w:r>
        <w:rPr>
          <w:rFonts w:hint="eastAsia" w:ascii="Times New Roman" w:hAnsi="Times New Roman" w:eastAsia="宋体" w:cs="Times New Roman"/>
          <w:color w:val="auto"/>
          <w:szCs w:val="22"/>
        </w:rPr>
        <w:t>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160DC983">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响应保证金</w:t>
      </w:r>
    </w:p>
    <w:p w14:paraId="303E9276">
      <w:pPr>
        <w:snapToGrid w:val="0"/>
        <w:spacing w:beforeLines="0" w:afterLines="0" w:line="440" w:lineRule="exact"/>
        <w:ind w:firstLine="420" w:firstLineChars="200"/>
        <w:rPr>
          <w:rFonts w:hint="default" w:ascii="Times New Roman" w:hAnsi="Times New Roman"/>
          <w:color w:val="auto"/>
          <w:sz w:val="21"/>
          <w:szCs w:val="21"/>
        </w:rPr>
      </w:pPr>
      <w:r>
        <w:rPr>
          <w:rFonts w:hint="eastAsia" w:ascii="Times New Roman" w:hAnsi="Times New Roman"/>
          <w:color w:val="auto"/>
          <w:sz w:val="21"/>
          <w:szCs w:val="21"/>
        </w:rPr>
        <w:t>响应保证金的金额：</w:t>
      </w:r>
    </w:p>
    <w:p w14:paraId="654939D3">
      <w:pPr>
        <w:widowControl/>
        <w:spacing w:line="400" w:lineRule="exact"/>
        <w:ind w:firstLine="42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本项目响应保证金：</w:t>
      </w:r>
      <w:r>
        <w:rPr>
          <w:rFonts w:hint="eastAsia" w:ascii="Times New Roman" w:hAnsi="Times New Roman" w:eastAsia="宋体" w:cs="Times New Roman"/>
          <w:b/>
          <w:bCs/>
          <w:color w:val="FF0000"/>
          <w:kern w:val="2"/>
          <w:sz w:val="21"/>
          <w:szCs w:val="21"/>
          <w:highlight w:val="none"/>
          <w:u w:val="single"/>
          <w:lang w:val="en-US" w:eastAsia="zh-CN" w:bidi="ar-SA"/>
        </w:rPr>
        <w:t>5000.00</w:t>
      </w:r>
      <w:r>
        <w:rPr>
          <w:rFonts w:hint="eastAsia" w:ascii="Times New Roman" w:hAnsi="Times New Roman" w:eastAsia="宋体" w:cs="Times New Roman"/>
          <w:b/>
          <w:bCs/>
          <w:color w:val="FF0000"/>
          <w:kern w:val="2"/>
          <w:sz w:val="21"/>
          <w:szCs w:val="21"/>
          <w:highlight w:val="none"/>
          <w:lang w:val="en-US" w:eastAsia="zh-CN" w:bidi="ar-SA"/>
        </w:rPr>
        <w:t>元（大写：</w:t>
      </w:r>
      <w:r>
        <w:rPr>
          <w:rFonts w:hint="eastAsia" w:ascii="Times New Roman" w:hAnsi="Times New Roman" w:eastAsia="宋体" w:cs="Times New Roman"/>
          <w:b/>
          <w:bCs/>
          <w:color w:val="FF0000"/>
          <w:kern w:val="2"/>
          <w:sz w:val="21"/>
          <w:szCs w:val="21"/>
          <w:highlight w:val="none"/>
          <w:u w:val="single"/>
          <w:lang w:val="en-US" w:eastAsia="zh-CN" w:bidi="ar-SA"/>
        </w:rPr>
        <w:t>伍仟元整</w:t>
      </w:r>
      <w:r>
        <w:rPr>
          <w:rFonts w:hint="eastAsia" w:ascii="Times New Roman" w:hAnsi="Times New Roman" w:eastAsia="宋体" w:cs="Times New Roman"/>
          <w:b/>
          <w:bCs/>
          <w:color w:val="FF0000"/>
          <w:kern w:val="2"/>
          <w:sz w:val="21"/>
          <w:szCs w:val="21"/>
          <w:highlight w:val="none"/>
          <w:lang w:val="en-US" w:eastAsia="zh-CN" w:bidi="ar-SA"/>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 xml:space="preserve"> </w:t>
      </w:r>
    </w:p>
    <w:p w14:paraId="0DF0A1C2">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若采用电汇（转账）形式，响应保证金必须由供应商的基本账户一次性汇入所示账户，并在响应截止时间前到账，否则无效。</w:t>
      </w:r>
    </w:p>
    <w:p w14:paraId="1A5B32D4">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响应保证金的账户信息：</w:t>
      </w:r>
    </w:p>
    <w:p w14:paraId="617C74E0">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户</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名：</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安徽省经工物资有限公司</w:t>
      </w:r>
    </w:p>
    <w:p w14:paraId="2F3907A8">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开户银行：</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工行合肥蜀山支行</w:t>
      </w:r>
    </w:p>
    <w:p w14:paraId="607D0B0B">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账</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号：</w:t>
      </w:r>
      <w:r>
        <w:rPr>
          <w:rFonts w:hint="default" w:ascii="Times New Roman" w:hAnsi="Times New Roman"/>
          <w:color w:val="auto"/>
          <w:sz w:val="21"/>
          <w:szCs w:val="21"/>
          <w:lang w:bidi="ar"/>
        </w:rPr>
        <w:t>1302012119200034038</w:t>
      </w:r>
    </w:p>
    <w:p w14:paraId="3C5AB4D2">
      <w:pPr>
        <w:spacing w:line="440" w:lineRule="exact"/>
        <w:ind w:firstLine="420"/>
        <w:rPr>
          <w:rFonts w:hint="eastAsia" w:ascii="Times New Roman" w:hAnsi="Times New Roman"/>
          <w:b/>
          <w:color w:val="auto"/>
          <w:sz w:val="21"/>
          <w:szCs w:val="21"/>
          <w:highlight w:val="lightGray"/>
        </w:rPr>
      </w:pPr>
      <w:r>
        <w:rPr>
          <w:rFonts w:hint="eastAsia" w:ascii="宋体" w:hAnsi="宋体" w:cs="宋体"/>
          <w:b/>
          <w:color w:val="auto"/>
          <w:sz w:val="21"/>
          <w:szCs w:val="21"/>
          <w:highlight w:val="none"/>
          <w:lang w:bidi="ar"/>
        </w:rPr>
        <w:t>付款备注：</w:t>
      </w:r>
      <w:r>
        <w:rPr>
          <w:rFonts w:hint="eastAsia" w:ascii="宋体" w:hAnsi="宋体" w:eastAsia="宋体" w:cs="宋体"/>
          <w:b/>
          <w:bCs w:val="0"/>
          <w:color w:val="FF0000"/>
          <w:kern w:val="2"/>
          <w:sz w:val="21"/>
          <w:szCs w:val="21"/>
          <w:highlight w:val="none"/>
          <w:u w:val="none"/>
          <w:lang w:val="en-US" w:eastAsia="zh-CN" w:bidi="ar-SA"/>
        </w:rPr>
        <w:t>81.85MW项目</w:t>
      </w:r>
      <w:r>
        <w:rPr>
          <w:rFonts w:hint="eastAsia" w:ascii="宋体" w:hAnsi="宋体" w:eastAsia="宋体" w:cs="宋体"/>
          <w:b/>
          <w:bCs w:val="0"/>
          <w:color w:val="FF0000"/>
          <w:kern w:val="2"/>
          <w:sz w:val="21"/>
          <w:szCs w:val="21"/>
          <w:highlight w:val="none"/>
          <w:u w:val="single"/>
          <w:lang w:val="en-US" w:eastAsia="zh-CN" w:bidi="ar-SA"/>
        </w:rPr>
        <w:t xml:space="preserve">   </w:t>
      </w:r>
      <w:r>
        <w:rPr>
          <w:rFonts w:hint="eastAsia" w:ascii="宋体" w:hAnsi="宋体" w:eastAsia="宋体" w:cs="宋体"/>
          <w:b/>
          <w:bCs w:val="0"/>
          <w:color w:val="FF0000"/>
          <w:kern w:val="2"/>
          <w:sz w:val="21"/>
          <w:szCs w:val="21"/>
          <w:highlight w:val="none"/>
          <w:u w:val="none"/>
          <w:lang w:val="en-US" w:eastAsia="zh-CN" w:bidi="ar-SA"/>
        </w:rPr>
        <w:t>包</w:t>
      </w:r>
      <w:r>
        <w:rPr>
          <w:rFonts w:hint="eastAsia" w:ascii="宋体" w:hAnsi="宋体" w:eastAsia="宋体" w:cs="宋体"/>
          <w:b/>
          <w:bCs w:val="0"/>
          <w:color w:val="FF0000"/>
          <w:kern w:val="2"/>
          <w:sz w:val="21"/>
          <w:szCs w:val="21"/>
          <w:highlight w:val="none"/>
          <w:u w:val="single"/>
          <w:lang w:val="en-US" w:eastAsia="zh-CN" w:bidi="ar-SA"/>
        </w:rPr>
        <w:t xml:space="preserve">   </w:t>
      </w:r>
      <w:r>
        <w:rPr>
          <w:rFonts w:hint="eastAsia" w:ascii="宋体" w:hAnsi="宋体" w:eastAsia="宋体" w:cs="宋体"/>
          <w:b/>
          <w:bCs w:val="0"/>
          <w:color w:val="FF0000"/>
          <w:kern w:val="2"/>
          <w:sz w:val="21"/>
          <w:szCs w:val="21"/>
          <w:highlight w:val="none"/>
          <w:u w:val="none"/>
          <w:lang w:val="en-US" w:eastAsia="zh-CN" w:bidi="ar-SA"/>
        </w:rPr>
        <w:t>材料</w:t>
      </w:r>
      <w:r>
        <w:rPr>
          <w:rFonts w:hint="eastAsia" w:ascii="宋体" w:hAnsi="宋体" w:eastAsia="宋体" w:cs="宋体"/>
          <w:b/>
          <w:bCs/>
          <w:color w:val="auto"/>
          <w:kern w:val="2"/>
          <w:sz w:val="21"/>
          <w:szCs w:val="21"/>
          <w:highlight w:val="none"/>
          <w:lang w:val="en-US" w:eastAsia="zh-CN" w:bidi="ar"/>
        </w:rPr>
        <w:t>响应保证金</w:t>
      </w:r>
    </w:p>
    <w:p w14:paraId="0D707131">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27D34F68">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备注：</w:t>
      </w:r>
    </w:p>
    <w:p w14:paraId="7CAF9D31">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w:t>
      </w:r>
      <w:r>
        <w:rPr>
          <w:rFonts w:hint="default" w:ascii="Times New Roman" w:hAnsi="Times New Roman"/>
          <w:color w:val="auto"/>
          <w:sz w:val="21"/>
          <w:szCs w:val="21"/>
          <w:lang w:bidi="ar"/>
        </w:rPr>
        <w:t>1</w:t>
      </w:r>
      <w:r>
        <w:rPr>
          <w:rFonts w:hint="eastAsia" w:ascii="宋体" w:hAnsi="宋体" w:cs="宋体"/>
          <w:color w:val="auto"/>
          <w:sz w:val="21"/>
          <w:szCs w:val="21"/>
          <w:lang w:bidi="ar"/>
        </w:rPr>
        <w:t>）如采用银行转账或银行电汇：</w:t>
      </w:r>
    </w:p>
    <w:p w14:paraId="6910392B">
      <w:pPr>
        <w:spacing w:beforeLines="0" w:afterLines="0" w:line="440" w:lineRule="exact"/>
        <w:ind w:firstLine="420"/>
        <w:rPr>
          <w:rFonts w:hint="eastAsia" w:ascii="Times New Roman" w:hAnsi="Times New Roman"/>
          <w:strike w:val="0"/>
          <w:dstrike w:val="0"/>
          <w:color w:val="auto"/>
          <w:sz w:val="21"/>
          <w:szCs w:val="21"/>
          <w:highlight w:val="none"/>
        </w:rPr>
      </w:pPr>
      <w:r>
        <w:rPr>
          <w:rFonts w:hint="eastAsia" w:ascii="宋体" w:hAnsi="宋体" w:cs="宋体"/>
          <w:strike w:val="0"/>
          <w:dstrike w:val="0"/>
          <w:color w:val="auto"/>
          <w:sz w:val="21"/>
          <w:szCs w:val="21"/>
          <w:highlight w:val="none"/>
          <w:lang w:bidi="ar"/>
        </w:rPr>
        <w:t>①响应保证金的到账截止时间：响应</w:t>
      </w:r>
      <w:r>
        <w:rPr>
          <w:rFonts w:hint="eastAsia" w:ascii="宋体" w:hAnsi="宋体" w:cs="宋体"/>
          <w:strike w:val="0"/>
          <w:dstrike w:val="0"/>
          <w:color w:val="auto"/>
          <w:sz w:val="21"/>
          <w:szCs w:val="21"/>
          <w:highlight w:val="none"/>
          <w:lang w:val="en-US" w:eastAsia="zh-CN" w:bidi="ar"/>
        </w:rPr>
        <w:t>文件递交</w:t>
      </w:r>
      <w:r>
        <w:rPr>
          <w:rFonts w:hint="eastAsia" w:ascii="宋体" w:hAnsi="宋体" w:cs="宋体"/>
          <w:strike w:val="0"/>
          <w:dstrike w:val="0"/>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strike w:val="0"/>
          <w:dstrike w:val="0"/>
          <w:color w:val="auto"/>
          <w:sz w:val="21"/>
          <w:szCs w:val="21"/>
          <w:highlight w:val="none"/>
        </w:rPr>
      </w:pPr>
      <w:r>
        <w:rPr>
          <w:rFonts w:hint="eastAsia" w:ascii="宋体" w:hAnsi="宋体" w:cs="宋体"/>
          <w:strike w:val="0"/>
          <w:dstrike w:val="0"/>
          <w:color w:val="auto"/>
          <w:sz w:val="21"/>
          <w:szCs w:val="21"/>
          <w:highlight w:val="none"/>
          <w:lang w:bidi="ar"/>
        </w:rPr>
        <w:t>②供应商账户汇入到上述账户，采购人不接受以个人名义或以现金形式提交的响应保证金。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rPr>
      </w:pPr>
      <w:r>
        <w:rPr>
          <w:rFonts w:hint="eastAsia" w:ascii="宋体" w:hAnsi="宋体" w:cs="宋体"/>
          <w:b w:val="0"/>
          <w:bCs/>
          <w:color w:val="auto"/>
          <w:sz w:val="21"/>
          <w:szCs w:val="21"/>
          <w:highlight w:val="none"/>
          <w:lang w:bidi="ar"/>
        </w:rPr>
        <w:t>（</w:t>
      </w:r>
      <w:r>
        <w:rPr>
          <w:rFonts w:hint="default" w:ascii="Times New Roman" w:hAnsi="Times New Roman"/>
          <w:b w:val="0"/>
          <w:bCs/>
          <w:color w:val="auto"/>
          <w:sz w:val="21"/>
          <w:szCs w:val="21"/>
          <w:highlight w:val="none"/>
          <w:lang w:bidi="ar"/>
        </w:rPr>
        <w:t>2</w:t>
      </w:r>
      <w:r>
        <w:rPr>
          <w:rFonts w:hint="eastAsia" w:ascii="宋体" w:hAnsi="宋体" w:cs="宋体"/>
          <w:b w:val="0"/>
          <w:bCs/>
          <w:color w:val="auto"/>
          <w:sz w:val="21"/>
          <w:szCs w:val="21"/>
          <w:highlight w:val="none"/>
          <w:lang w:bidi="ar"/>
        </w:rPr>
        <w:t>）</w:t>
      </w:r>
      <w:r>
        <w:rPr>
          <w:rFonts w:hint="eastAsia" w:ascii="宋体" w:hAnsi="宋体" w:cs="宋体"/>
          <w:b w:val="0"/>
          <w:bCs/>
          <w:color w:val="auto"/>
          <w:sz w:val="21"/>
          <w:szCs w:val="21"/>
          <w:highlight w:val="none"/>
          <w:lang w:val="en-US" w:eastAsia="zh-CN" w:bidi="ar"/>
        </w:rPr>
        <w:t>成交公示</w:t>
      </w:r>
      <w:r>
        <w:rPr>
          <w:rFonts w:hint="eastAsia" w:ascii="宋体" w:hAnsi="宋体" w:cs="宋体"/>
          <w:b w:val="0"/>
          <w:bCs/>
          <w:color w:val="auto"/>
          <w:sz w:val="21"/>
          <w:szCs w:val="21"/>
          <w:highlight w:val="none"/>
          <w:lang w:bidi="ar"/>
        </w:rPr>
        <w:t>后，</w:t>
      </w:r>
      <w:r>
        <w:rPr>
          <w:rFonts w:hint="eastAsia" w:ascii="宋体" w:hAnsi="宋体" w:cs="宋体"/>
          <w:b w:val="0"/>
          <w:bCs/>
          <w:color w:val="auto"/>
          <w:sz w:val="21"/>
          <w:szCs w:val="21"/>
          <w:highlight w:val="none"/>
          <w:lang w:eastAsia="zh-CN" w:bidi="ar"/>
        </w:rPr>
        <w:t>在</w:t>
      </w:r>
      <w:r>
        <w:rPr>
          <w:rFonts w:hint="eastAsia" w:ascii="宋体" w:hAnsi="宋体" w:cs="宋体"/>
          <w:b w:val="0"/>
          <w:bCs/>
          <w:color w:val="auto"/>
          <w:sz w:val="21"/>
          <w:szCs w:val="21"/>
          <w:highlight w:val="none"/>
          <w:lang w:val="en-US" w:eastAsia="zh-CN" w:bidi="ar"/>
        </w:rPr>
        <w:t>合同签订前，乙方需向甲方支付合同总价</w:t>
      </w:r>
      <w:r>
        <w:rPr>
          <w:rFonts w:hint="eastAsia" w:ascii="宋体" w:hAnsi="宋体" w:cs="宋体"/>
          <w:b w:val="0"/>
          <w:bCs/>
          <w:color w:val="auto"/>
          <w:sz w:val="21"/>
          <w:szCs w:val="21"/>
          <w:highlight w:val="none"/>
          <w:u w:val="single"/>
          <w:lang w:val="en-US" w:eastAsia="zh-CN" w:bidi="ar"/>
        </w:rPr>
        <w:t>2%</w:t>
      </w:r>
      <w:r>
        <w:rPr>
          <w:rFonts w:hint="eastAsia" w:ascii="宋体" w:hAnsi="宋体" w:cs="宋体"/>
          <w:b w:val="0"/>
          <w:bCs/>
          <w:color w:val="auto"/>
          <w:sz w:val="21"/>
          <w:szCs w:val="21"/>
          <w:highlight w:val="none"/>
          <w:lang w:val="en-US" w:eastAsia="zh-CN" w:bidi="ar"/>
        </w:rPr>
        <w:t>的</w:t>
      </w:r>
      <w:r>
        <w:rPr>
          <w:rFonts w:hint="eastAsia" w:ascii="宋体" w:hAnsi="宋体" w:cs="宋体"/>
          <w:b w:val="0"/>
          <w:bCs/>
          <w:color w:val="auto"/>
          <w:sz w:val="21"/>
          <w:szCs w:val="21"/>
          <w:highlight w:val="none"/>
          <w:lang w:bidi="ar"/>
        </w:rPr>
        <w:t>履约保证金</w:t>
      </w:r>
      <w:r>
        <w:rPr>
          <w:rFonts w:hint="eastAsia" w:ascii="宋体" w:hAnsi="宋体" w:cs="宋体"/>
          <w:b w:val="0"/>
          <w:bCs/>
          <w:color w:val="auto"/>
          <w:sz w:val="21"/>
          <w:szCs w:val="21"/>
          <w:highlight w:val="none"/>
          <w:lang w:val="en-US" w:eastAsia="zh-CN" w:bidi="ar"/>
        </w:rPr>
        <w:t>或提供合同总价</w:t>
      </w:r>
      <w:r>
        <w:rPr>
          <w:rFonts w:hint="eastAsia" w:ascii="宋体" w:hAnsi="宋体" w:cs="宋体"/>
          <w:b w:val="0"/>
          <w:bCs/>
          <w:color w:val="auto"/>
          <w:sz w:val="21"/>
          <w:szCs w:val="21"/>
          <w:highlight w:val="none"/>
          <w:u w:val="single"/>
          <w:lang w:val="en-US" w:eastAsia="zh-CN" w:bidi="ar"/>
        </w:rPr>
        <w:t>5%</w:t>
      </w:r>
      <w:r>
        <w:rPr>
          <w:rFonts w:hint="eastAsia" w:ascii="宋体" w:hAnsi="宋体" w:cs="宋体"/>
          <w:b w:val="0"/>
          <w:bCs/>
          <w:color w:val="auto"/>
          <w:sz w:val="21"/>
          <w:szCs w:val="21"/>
          <w:highlight w:val="none"/>
          <w:lang w:val="en-US" w:eastAsia="zh-CN" w:bidi="ar"/>
        </w:rPr>
        <w:t>的银行保函</w:t>
      </w:r>
      <w:r>
        <w:rPr>
          <w:rFonts w:hint="eastAsia" w:ascii="宋体" w:hAnsi="宋体" w:cs="宋体"/>
          <w:b w:val="0"/>
          <w:bCs/>
          <w:color w:val="auto"/>
          <w:sz w:val="21"/>
          <w:szCs w:val="21"/>
          <w:highlight w:val="none"/>
          <w:lang w:bidi="ar"/>
        </w:rPr>
        <w:t>。</w:t>
      </w:r>
      <w:r>
        <w:rPr>
          <w:rFonts w:hint="eastAsia" w:ascii="宋体" w:hAnsi="宋体" w:eastAsia="宋体" w:cs="宋体"/>
          <w:color w:val="FF0000"/>
          <w:szCs w:val="21"/>
          <w:highlight w:val="none"/>
        </w:rPr>
        <w:t xml:space="preserve">  </w:t>
      </w:r>
      <w:r>
        <w:rPr>
          <w:rFonts w:hint="eastAsia" w:ascii="宋体" w:hAnsi="宋体" w:eastAsia="宋体" w:cs="宋体"/>
          <w:color w:val="auto"/>
          <w:szCs w:val="21"/>
          <w:highlight w:val="none"/>
        </w:rPr>
        <w:t xml:space="preserve"> </w:t>
      </w:r>
    </w:p>
    <w:bookmarkEnd w:id="34"/>
    <w:bookmarkEnd w:id="35"/>
    <w:p w14:paraId="60BFA1D5">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36" w:name="_Toc20572_WPSOffice_Level2"/>
      <w:bookmarkStart w:id="37" w:name="_Toc321_WPSOffice_Level2"/>
      <w:bookmarkStart w:id="38" w:name="_Toc26829"/>
      <w:bookmarkStart w:id="39" w:name="_Toc8501"/>
      <w:bookmarkStart w:id="40" w:name="_Toc525632592"/>
      <w:bookmarkStart w:id="41" w:name="_Toc28571_WPSOffice_Level2"/>
      <w:bookmarkStart w:id="42" w:name="_Toc14943_WPSOffice_Level2"/>
      <w:r>
        <w:rPr>
          <w:rFonts w:hint="default" w:ascii="Times New Roman" w:hAnsi="Times New Roman" w:eastAsia="黑体" w:cs="Times New Roman"/>
          <w:b w:val="0"/>
          <w:bCs/>
          <w:color w:val="auto"/>
          <w:sz w:val="22"/>
          <w:szCs w:val="15"/>
          <w:highlight w:val="none"/>
          <w:lang w:val="en-US" w:eastAsia="zh-CN"/>
        </w:rPr>
        <w:t>发布公告的媒介</w:t>
      </w:r>
    </w:p>
    <w:p w14:paraId="711CCAA2">
      <w:pPr>
        <w:snapToGrid w:val="0"/>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2"/>
        </w:rPr>
        <w:t xml:space="preserve">本次采购公告在“ </w:t>
      </w:r>
      <w:r>
        <w:rPr>
          <w:rFonts w:hint="eastAsia" w:ascii="Times New Roman" w:hAnsi="Times New Roman"/>
          <w:color w:val="auto"/>
          <w:sz w:val="21"/>
          <w:szCs w:val="22"/>
          <w:lang w:eastAsia="zh-CN"/>
        </w:rPr>
        <w:t>安徽交控建设工程集团有限公司</w:t>
      </w:r>
      <w:r>
        <w:rPr>
          <w:rFonts w:hint="eastAsia" w:ascii="Times New Roman" w:hAnsi="Times New Roman"/>
          <w:color w:val="auto"/>
          <w:sz w:val="21"/>
          <w:szCs w:val="22"/>
        </w:rPr>
        <w:t>”（网址：www.ahjggroup.com）“招标公告”栏目中发布。</w:t>
      </w:r>
    </w:p>
    <w:p w14:paraId="01DF32E3">
      <w:pPr>
        <w:keepNext/>
        <w:keepLines/>
        <w:numPr>
          <w:ilvl w:val="0"/>
          <w:numId w:val="2"/>
        </w:numPr>
        <w:snapToGrid w:val="0"/>
        <w:spacing w:before="120" w:after="120" w:line="400" w:lineRule="exact"/>
        <w:ind w:firstLine="403"/>
        <w:outlineLvl w:val="1"/>
        <w:rPr>
          <w:rFonts w:hint="eastAsia" w:ascii="宋体" w:hAnsi="宋体" w:eastAsia="宋体" w:cs="宋体"/>
          <w:bCs/>
          <w:color w:val="auto"/>
          <w:szCs w:val="21"/>
        </w:rPr>
      </w:pPr>
      <w:r>
        <w:rPr>
          <w:rFonts w:hint="eastAsia" w:ascii="Times New Roman" w:hAnsi="Times New Roman" w:eastAsia="黑体" w:cs="Times New Roman"/>
          <w:bCs/>
          <w:color w:val="auto"/>
          <w:sz w:val="22"/>
          <w:szCs w:val="15"/>
        </w:rPr>
        <w:t>采购人联系方式</w:t>
      </w:r>
      <w:bookmarkEnd w:id="36"/>
      <w:bookmarkEnd w:id="37"/>
      <w:bookmarkEnd w:id="38"/>
      <w:bookmarkEnd w:id="39"/>
      <w:bookmarkEnd w:id="40"/>
      <w:bookmarkEnd w:id="41"/>
      <w:bookmarkEnd w:id="42"/>
      <w:r>
        <w:rPr>
          <w:rFonts w:hint="eastAsia" w:ascii="Times New Roman" w:hAnsi="Times New Roman" w:eastAsia="黑体" w:cs="Times New Roman"/>
          <w:bCs/>
          <w:color w:val="auto"/>
          <w:sz w:val="22"/>
          <w:szCs w:val="15"/>
        </w:rPr>
        <w:t xml:space="preserve">     </w:t>
      </w:r>
      <w:r>
        <w:rPr>
          <w:rFonts w:hint="eastAsia" w:ascii="宋体" w:hAnsi="宋体" w:eastAsia="宋体" w:cs="宋体"/>
          <w:bCs/>
          <w:color w:val="auto"/>
          <w:szCs w:val="21"/>
        </w:rPr>
        <w:t xml:space="preserve"> </w:t>
      </w:r>
    </w:p>
    <w:p w14:paraId="6AAFE815">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采 购 人：</w:t>
      </w:r>
      <w:r>
        <w:rPr>
          <w:rFonts w:hint="eastAsia" w:ascii="宋体" w:hAnsi="宋体" w:eastAsia="宋体" w:cs="宋体"/>
          <w:color w:val="auto"/>
          <w:szCs w:val="21"/>
          <w:u w:val="single"/>
          <w:lang w:eastAsia="zh-CN"/>
        </w:rPr>
        <w:t>安徽省经工物资有限公司</w:t>
      </w:r>
    </w:p>
    <w:p w14:paraId="7967619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安徽省合肥市包河区西藏路1588号高速时代广场C1栋1008室</w:t>
      </w:r>
    </w:p>
    <w:p w14:paraId="091A1E5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邮</w:t>
      </w:r>
      <w:r>
        <w:rPr>
          <w:rFonts w:hint="eastAsia" w:ascii="宋体" w:hAnsi="宋体" w:eastAsia="宋体" w:cs="宋体"/>
          <w:color w:val="auto"/>
          <w:szCs w:val="21"/>
          <w:highlight w:val="none"/>
        </w:rPr>
        <w:t>政编码：</w:t>
      </w:r>
      <w:r>
        <w:rPr>
          <w:rFonts w:hint="eastAsia" w:ascii="宋体" w:hAnsi="宋体" w:eastAsia="宋体" w:cs="宋体"/>
          <w:color w:val="auto"/>
          <w:szCs w:val="21"/>
          <w:highlight w:val="none"/>
          <w:u w:val="single"/>
        </w:rPr>
        <w:t xml:space="preserve">           /                 </w:t>
      </w:r>
    </w:p>
    <w:p w14:paraId="4A0B572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余工、</w:t>
      </w:r>
      <w:r>
        <w:rPr>
          <w:rFonts w:hint="eastAsia" w:ascii="宋体" w:hAnsi="宋体" w:eastAsia="宋体" w:cs="宋体"/>
          <w:color w:val="auto"/>
          <w:szCs w:val="21"/>
          <w:highlight w:val="none"/>
          <w:u w:val="single"/>
          <w:lang w:val="en-US" w:eastAsia="zh-CN"/>
        </w:rPr>
        <w:t>方</w:t>
      </w:r>
      <w:r>
        <w:rPr>
          <w:rFonts w:hint="eastAsia" w:ascii="宋体" w:hAnsi="宋体" w:eastAsia="宋体" w:cs="宋体"/>
          <w:color w:val="auto"/>
          <w:szCs w:val="21"/>
          <w:highlight w:val="none"/>
          <w:u w:val="single"/>
        </w:rPr>
        <w:t xml:space="preserve">工              </w:t>
      </w:r>
      <w:r>
        <w:rPr>
          <w:rFonts w:hint="eastAsia" w:ascii="宋体" w:hAnsi="宋体" w:eastAsia="宋体" w:cs="宋体"/>
          <w:color w:val="auto"/>
          <w:szCs w:val="21"/>
          <w:highlight w:val="none"/>
        </w:rPr>
        <w:t xml:space="preserve">  </w:t>
      </w:r>
    </w:p>
    <w:p w14:paraId="301A9788">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13866130523</w:t>
      </w:r>
      <w:r>
        <w:rPr>
          <w:rFonts w:hint="eastAsia" w:ascii="宋体" w:hAnsi="宋体" w:eastAsia="宋体" w:cs="宋体"/>
          <w:color w:val="auto"/>
          <w:szCs w:val="21"/>
          <w:highlight w:val="none"/>
          <w:u w:val="single"/>
        </w:rPr>
        <w:t xml:space="preserve">、15256002215  </w:t>
      </w:r>
    </w:p>
    <w:p w14:paraId="073410A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3A0D37AB">
      <w:pPr>
        <w:pStyle w:val="7"/>
        <w:spacing w:after="0" w:line="440" w:lineRule="exact"/>
        <w:ind w:firstLine="420" w:firstLineChars="200"/>
        <w:rPr>
          <w:rFonts w:ascii="宋体" w:hAnsi="宋体" w:eastAsia="宋体" w:cs="宋体"/>
          <w:color w:val="auto"/>
          <w:sz w:val="21"/>
          <w:szCs w:val="21"/>
        </w:rPr>
      </w:pPr>
      <w:r>
        <w:rPr>
          <w:rFonts w:hint="eastAsia" w:ascii="宋体" w:hAnsi="宋体" w:eastAsia="宋体" w:cs="宋体"/>
          <w:color w:val="auto"/>
          <w:szCs w:val="21"/>
        </w:rPr>
        <w:t xml:space="preserve">   </w:t>
      </w:r>
      <w:r>
        <w:rPr>
          <w:rFonts w:ascii="宋体" w:hAnsi="宋体" w:eastAsia="宋体" w:cs="宋体"/>
          <w:color w:val="auto"/>
          <w:sz w:val="21"/>
          <w:szCs w:val="21"/>
        </w:rPr>
        <w:t xml:space="preserve">                                          </w:t>
      </w:r>
    </w:p>
    <w:p w14:paraId="6D1CAFC7">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14:paraId="00905C0F">
      <w:pPr>
        <w:pStyle w:val="2"/>
        <w:spacing w:before="312" w:after="312"/>
        <w:rPr>
          <w:rFonts w:ascii="Times New Roman" w:hAnsi="Times New Roman" w:eastAsia="宋体" w:cs="Times New Roman"/>
          <w:color w:val="auto"/>
        </w:rPr>
      </w:pPr>
      <w:bookmarkStart w:id="43" w:name="_Toc19631"/>
      <w:r>
        <w:rPr>
          <w:rFonts w:ascii="Times New Roman" w:hAnsi="Times New Roman" w:eastAsia="宋体" w:cs="Times New Roman"/>
          <w:color w:val="auto"/>
        </w:rPr>
        <w:t>供应商须知</w:t>
      </w:r>
      <w:bookmarkEnd w:id="43"/>
    </w:p>
    <w:p w14:paraId="3D285B2E">
      <w:pPr>
        <w:spacing w:line="440" w:lineRule="exact"/>
        <w:jc w:val="center"/>
        <w:outlineLvl w:val="1"/>
        <w:rPr>
          <w:rFonts w:ascii="Times New Roman" w:hAnsi="Times New Roman" w:eastAsia="黑体" w:cs="Times New Roman"/>
          <w:color w:val="auto"/>
          <w:sz w:val="28"/>
          <w:szCs w:val="28"/>
        </w:rPr>
      </w:pPr>
      <w:bookmarkStart w:id="44" w:name="_Toc19501"/>
      <w:bookmarkStart w:id="45" w:name="_Toc26656928"/>
      <w:bookmarkStart w:id="46" w:name="_Toc29381_WPSOffice_Level2"/>
      <w:bookmarkStart w:id="47" w:name="_Toc55466811"/>
      <w:bookmarkStart w:id="48" w:name="_Toc16069"/>
      <w:r>
        <w:rPr>
          <w:rFonts w:ascii="Times New Roman" w:hAnsi="Times New Roman" w:eastAsia="黑体" w:cs="Times New Roman"/>
          <w:color w:val="auto"/>
          <w:sz w:val="28"/>
          <w:szCs w:val="28"/>
        </w:rPr>
        <w:t>供应商须知前附表</w:t>
      </w:r>
      <w:bookmarkEnd w:id="44"/>
      <w:bookmarkEnd w:id="45"/>
      <w:bookmarkEnd w:id="46"/>
      <w:bookmarkEnd w:id="47"/>
      <w:bookmarkEnd w:id="48"/>
    </w:p>
    <w:tbl>
      <w:tblPr>
        <w:tblStyle w:val="20"/>
        <w:tblW w:w="9181" w:type="dxa"/>
        <w:tblInd w:w="0" w:type="dxa"/>
        <w:tblLayout w:type="fixed"/>
        <w:tblCellMar>
          <w:top w:w="0" w:type="dxa"/>
          <w:left w:w="108" w:type="dxa"/>
          <w:bottom w:w="0" w:type="dxa"/>
          <w:right w:w="108" w:type="dxa"/>
        </w:tblCellMar>
      </w:tblPr>
      <w:tblGrid>
        <w:gridCol w:w="1000"/>
        <w:gridCol w:w="2572"/>
        <w:gridCol w:w="5609"/>
      </w:tblGrid>
      <w:tr w14:paraId="75466201">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503EC23C">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14:paraId="12AE6AE4">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14:paraId="4847604E">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编  列  内  容</w:t>
            </w:r>
          </w:p>
        </w:tc>
      </w:tr>
      <w:tr w14:paraId="6373CF1B">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82AC01E">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14:paraId="0B190D34">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14:paraId="5B1C303F">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满足国家最新颁布的质量技术标准和本项目的特殊要求。</w:t>
            </w:r>
          </w:p>
        </w:tc>
      </w:tr>
      <w:tr w14:paraId="11184ADD">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CDD2010">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14:paraId="7A23FD2C">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14:paraId="51B46876">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见第一章 采购公告要求。</w:t>
            </w:r>
          </w:p>
        </w:tc>
      </w:tr>
      <w:tr w14:paraId="45C8BE14">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BFCCB83">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1.2.</w:t>
            </w:r>
            <w:r>
              <w:rPr>
                <w:rFonts w:hint="eastAsia" w:ascii="Times New Roman" w:hAnsi="Times New Roman" w:eastAsia="宋体" w:cs="Times New Roman"/>
                <w:color w:val="auto"/>
                <w:szCs w:val="21"/>
                <w:lang w:val="en-US" w:eastAsia="zh-CN"/>
              </w:rPr>
              <w:t>1</w:t>
            </w:r>
          </w:p>
        </w:tc>
        <w:tc>
          <w:tcPr>
            <w:tcW w:w="2572" w:type="dxa"/>
            <w:tcBorders>
              <w:top w:val="single" w:color="auto" w:sz="4" w:space="0"/>
              <w:left w:val="single" w:color="auto" w:sz="4" w:space="0"/>
              <w:bottom w:val="single" w:color="auto" w:sz="4" w:space="0"/>
              <w:right w:val="single" w:color="auto" w:sz="4" w:space="0"/>
            </w:tcBorders>
            <w:vAlign w:val="center"/>
          </w:tcPr>
          <w:p w14:paraId="5C184884">
            <w:pPr>
              <w:ind w:left="105" w:lef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14:paraId="2AA2C765">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资质条件：见附录1</w:t>
            </w:r>
          </w:p>
          <w:p w14:paraId="41C8468E">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业绩要求：见附录2</w:t>
            </w:r>
          </w:p>
          <w:p w14:paraId="3B479FC3">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信誉要求：见附录3</w:t>
            </w:r>
          </w:p>
        </w:tc>
      </w:tr>
      <w:tr w14:paraId="1C1AC28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130CE9F">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1.2.</w:t>
            </w:r>
            <w:r>
              <w:rPr>
                <w:rFonts w:hint="eastAsia" w:ascii="Times New Roman" w:hAnsi="Times New Roman" w:eastAsia="宋体" w:cs="Times New Roman"/>
                <w:color w:val="auto"/>
                <w:szCs w:val="21"/>
                <w:lang w:val="en-US" w:eastAsia="zh-CN"/>
              </w:rPr>
              <w:t>3</w:t>
            </w:r>
          </w:p>
        </w:tc>
        <w:tc>
          <w:tcPr>
            <w:tcW w:w="2572" w:type="dxa"/>
            <w:tcBorders>
              <w:top w:val="single" w:color="auto" w:sz="4" w:space="0"/>
              <w:left w:val="single" w:color="auto" w:sz="4" w:space="0"/>
              <w:bottom w:val="single" w:color="auto" w:sz="4" w:space="0"/>
              <w:right w:val="single" w:color="auto" w:sz="4" w:space="0"/>
            </w:tcBorders>
            <w:vAlign w:val="center"/>
          </w:tcPr>
          <w:p w14:paraId="08737CF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是否接受联合体</w:t>
            </w:r>
            <w:r>
              <w:rPr>
                <w:rFonts w:hint="eastAsia" w:ascii="Times New Roman" w:hAnsi="Times New Roman" w:eastAsia="宋体" w:cs="Times New Roman"/>
                <w:color w:val="auto"/>
                <w:szCs w:val="21"/>
                <w:lang w:val="en-US" w:eastAsia="zh-CN"/>
              </w:rPr>
              <w:t>响应</w:t>
            </w:r>
          </w:p>
        </w:tc>
        <w:tc>
          <w:tcPr>
            <w:tcW w:w="5609" w:type="dxa"/>
            <w:tcBorders>
              <w:top w:val="single" w:color="auto" w:sz="4" w:space="0"/>
              <w:left w:val="single" w:color="auto" w:sz="4" w:space="0"/>
              <w:bottom w:val="single" w:color="auto" w:sz="4" w:space="0"/>
              <w:right w:val="single" w:color="auto" w:sz="4" w:space="0"/>
            </w:tcBorders>
            <w:vAlign w:val="center"/>
          </w:tcPr>
          <w:p w14:paraId="518CA820">
            <w:pPr>
              <w:ind w:left="42" w:leftChars="20" w:right="42" w:rightChars="20"/>
              <w:rPr>
                <w:rFonts w:ascii="Times New Roman" w:hAnsi="Times New Roman" w:eastAsia="宋体" w:cs="Times New Roman"/>
                <w:color w:val="auto"/>
                <w:kern w:val="0"/>
                <w:szCs w:val="21"/>
              </w:rPr>
            </w:pPr>
            <w:r>
              <w:rPr>
                <w:rFonts w:hint="eastAsia" w:ascii="Times New Roman" w:hAnsi="Times New Roman" w:eastAsia="宋体" w:cs="Times New Roman"/>
                <w:color w:val="auto"/>
                <w:szCs w:val="21"/>
              </w:rPr>
              <w:t>不接受</w:t>
            </w:r>
          </w:p>
        </w:tc>
      </w:tr>
      <w:tr w14:paraId="26D3348A">
        <w:tblPrEx>
          <w:tblCellMar>
            <w:top w:w="0" w:type="dxa"/>
            <w:left w:w="108" w:type="dxa"/>
            <w:bottom w:w="0" w:type="dxa"/>
            <w:right w:w="108" w:type="dxa"/>
          </w:tblCellMar>
        </w:tblPrEx>
        <w:trPr>
          <w:trHeight w:val="572" w:hRule="atLeast"/>
        </w:trPr>
        <w:tc>
          <w:tcPr>
            <w:tcW w:w="1000" w:type="dxa"/>
            <w:tcBorders>
              <w:top w:val="single" w:color="auto" w:sz="4" w:space="0"/>
              <w:left w:val="single" w:color="auto" w:sz="4" w:space="0"/>
              <w:bottom w:val="single" w:color="auto" w:sz="4" w:space="0"/>
              <w:right w:val="single" w:color="auto" w:sz="4" w:space="0"/>
            </w:tcBorders>
            <w:vAlign w:val="center"/>
          </w:tcPr>
          <w:p w14:paraId="49A53B90">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14:paraId="62EAD595">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14:paraId="66109FE6">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无</w:t>
            </w:r>
          </w:p>
        </w:tc>
      </w:tr>
      <w:tr w14:paraId="26C4216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F9360E3">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3.2.</w:t>
            </w:r>
            <w:r>
              <w:rPr>
                <w:rFonts w:hint="eastAsia" w:ascii="Times New Roman" w:hAnsi="Times New Roman" w:eastAsia="宋体" w:cs="Times New Roman"/>
                <w:color w:val="auto"/>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14:paraId="23F89445">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14:paraId="125CF090">
            <w:pPr>
              <w:spacing w:line="480" w:lineRule="exact"/>
              <w:rPr>
                <w:rFonts w:ascii="Times New Roman" w:hAnsi="Times New Roman" w:eastAsia="宋体" w:cs="Times New Roman"/>
                <w:color w:val="auto"/>
                <w:szCs w:val="21"/>
              </w:rPr>
            </w:pPr>
            <w:r>
              <w:rPr>
                <w:rFonts w:hint="eastAsia"/>
                <w:color w:val="auto"/>
              </w:rPr>
              <w:t>☑</w:t>
            </w:r>
            <w:r>
              <w:rPr>
                <w:rFonts w:hint="eastAsia" w:ascii="Times New Roman" w:hAnsi="Times New Roman" w:eastAsia="宋体" w:cs="Times New Roman"/>
                <w:color w:val="auto"/>
                <w:szCs w:val="21"/>
              </w:rPr>
              <w:t>固定</w:t>
            </w:r>
            <w:r>
              <w:rPr>
                <w:rFonts w:ascii="Times New Roman" w:hAnsi="Times New Roman" w:eastAsia="宋体" w:cs="Times New Roman"/>
                <w:color w:val="auto"/>
                <w:szCs w:val="21"/>
              </w:rPr>
              <w:t>单价</w:t>
            </w:r>
          </w:p>
          <w:p w14:paraId="12858175">
            <w:pPr>
              <w:spacing w:line="480" w:lineRule="exact"/>
              <w:rPr>
                <w:rFonts w:ascii="Times New Roman" w:hAnsi="Times New Roman" w:eastAsia="宋体" w:cs="Times New Roman"/>
                <w:color w:val="auto"/>
                <w:szCs w:val="21"/>
              </w:rPr>
            </w:pPr>
            <w:r>
              <w:rPr>
                <w:rFonts w:hint="eastAsia"/>
                <w:color w:val="auto"/>
              </w:rPr>
              <w:t>□</w:t>
            </w:r>
            <w:r>
              <w:rPr>
                <w:rFonts w:hint="eastAsia" w:ascii="Times New Roman" w:hAnsi="Times New Roman" w:eastAsia="宋体" w:cs="Times New Roman"/>
                <w:color w:val="auto"/>
                <w:szCs w:val="21"/>
              </w:rPr>
              <w:t>固定</w:t>
            </w:r>
            <w:r>
              <w:rPr>
                <w:rFonts w:ascii="Times New Roman" w:hAnsi="Times New Roman" w:eastAsia="宋体" w:cs="Times New Roman"/>
                <w:color w:val="auto"/>
                <w:szCs w:val="21"/>
              </w:rPr>
              <w:t>总价</w:t>
            </w:r>
          </w:p>
        </w:tc>
      </w:tr>
      <w:tr w14:paraId="37B7E9F2">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D41185F">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3.2.</w:t>
            </w:r>
            <w:r>
              <w:rPr>
                <w:rFonts w:hint="eastAsia" w:ascii="Times New Roman" w:hAnsi="Times New Roman" w:eastAsia="宋体" w:cs="Times New Roman"/>
                <w:color w:val="auto"/>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14:paraId="5550CCB4">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14:paraId="17C9E737">
            <w:pPr>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6792FFC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596AEE6">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3.4.4</w:t>
            </w:r>
            <w:r>
              <w:rPr>
                <w:rFonts w:hint="eastAsia" w:ascii="Times New Roman" w:hAnsi="Times New Roman" w:eastAsia="宋体" w:cs="Times New Roman"/>
                <w:color w:val="auto"/>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14:paraId="20C07A0F">
            <w:pPr>
              <w:spacing w:line="480" w:lineRule="exact"/>
              <w:jc w:val="center"/>
              <w:rPr>
                <w:rFonts w:ascii="Times New Roman" w:hAnsi="Times New Roman" w:eastAsia="宋体" w:cs="Times New Roman"/>
                <w:color w:val="auto"/>
                <w:szCs w:val="21"/>
              </w:rPr>
            </w:pPr>
            <w:r>
              <w:rPr>
                <w:rFonts w:ascii="Times New Roman" w:hAnsi="Times New Roman" w:cs="Times New Roman"/>
                <w:color w:val="auto"/>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14:paraId="13175663">
            <w:pPr>
              <w:pStyle w:val="7"/>
              <w:spacing w:after="0" w:line="440" w:lineRule="exact"/>
              <w:rPr>
                <w:rFonts w:hint="eastAsia" w:ascii="宋体" w:hAnsi="宋体" w:eastAsia="宋体" w:cs="宋体"/>
                <w:color w:val="auto"/>
                <w:szCs w:val="21"/>
              </w:rPr>
            </w:pPr>
            <w:r>
              <w:rPr>
                <w:rFonts w:hint="eastAsia" w:ascii="宋体" w:hAnsi="宋体" w:eastAsia="宋体" w:cs="宋体"/>
                <w:color w:val="auto"/>
                <w:sz w:val="22"/>
                <w:szCs w:val="22"/>
              </w:rPr>
              <w:t>报</w:t>
            </w:r>
            <w:r>
              <w:rPr>
                <w:rFonts w:hint="eastAsia" w:ascii="宋体" w:hAnsi="宋体" w:eastAsia="宋体" w:cs="宋体"/>
                <w:color w:val="auto"/>
                <w:szCs w:val="21"/>
              </w:rPr>
              <w:t>价方出现以下情形的，其询价响应保证金将不予退还：</w:t>
            </w:r>
          </w:p>
          <w:p w14:paraId="0159CBA4">
            <w:pPr>
              <w:pStyle w:val="7"/>
              <w:spacing w:after="0" w:line="440" w:lineRule="exact"/>
              <w:rPr>
                <w:rFonts w:hint="eastAsia" w:ascii="宋体" w:hAnsi="宋体" w:eastAsia="宋体" w:cs="宋体"/>
                <w:color w:val="auto"/>
                <w:szCs w:val="21"/>
              </w:rPr>
            </w:pPr>
            <w:r>
              <w:rPr>
                <w:rFonts w:ascii="Times New Roman" w:hAnsi="Times New Roman" w:eastAsia="宋体" w:cs="Times New Roman"/>
                <w:color w:val="auto"/>
                <w:szCs w:val="21"/>
              </w:rPr>
              <w:t>（1）</w:t>
            </w:r>
            <w:r>
              <w:rPr>
                <w:rFonts w:hint="eastAsia" w:ascii="宋体" w:hAnsi="宋体" w:eastAsia="宋体" w:cs="宋体"/>
                <w:color w:val="auto"/>
                <w:szCs w:val="21"/>
              </w:rPr>
              <w:t>报价方在规定的响应有效期内撤销其响应文件。</w:t>
            </w:r>
          </w:p>
          <w:p w14:paraId="6CE6047A">
            <w:pPr>
              <w:pStyle w:val="7"/>
              <w:spacing w:after="0" w:line="440" w:lineRule="exact"/>
              <w:rPr>
                <w:rFonts w:hint="eastAsia" w:ascii="宋体" w:hAnsi="宋体" w:eastAsia="宋体" w:cs="宋体"/>
                <w:color w:val="auto"/>
                <w:szCs w:val="21"/>
              </w:rPr>
            </w:pPr>
            <w:r>
              <w:rPr>
                <w:rFonts w:ascii="Times New Roman" w:hAnsi="Times New Roman" w:eastAsia="宋体" w:cs="Times New Roman"/>
                <w:color w:val="auto"/>
                <w:szCs w:val="21"/>
              </w:rPr>
              <w:t>（2）</w:t>
            </w:r>
            <w:r>
              <w:rPr>
                <w:rFonts w:hint="eastAsia" w:ascii="宋体" w:hAnsi="宋体" w:eastAsia="宋体" w:cs="宋体"/>
                <w:color w:val="auto"/>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4F46BB79">
            <w:pPr>
              <w:pStyle w:val="7"/>
              <w:spacing w:after="0" w:line="4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宋体" w:hAnsi="宋体" w:eastAsia="宋体" w:cs="宋体"/>
                <w:color w:val="auto"/>
                <w:szCs w:val="21"/>
              </w:rPr>
              <w:t>供应商存在以他人名义报价、与他人串通报价、以行贿手段谋取成交、弄虚作假等行为。</w:t>
            </w:r>
          </w:p>
        </w:tc>
      </w:tr>
      <w:tr w14:paraId="6B29A29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D6B4193">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14:paraId="66BF546E">
            <w:pPr>
              <w:spacing w:line="480" w:lineRule="exact"/>
              <w:jc w:val="center"/>
              <w:rPr>
                <w:rFonts w:ascii="Times New Roman" w:hAnsi="Times New Roman" w:cs="Times New Roman"/>
                <w:color w:val="auto"/>
                <w:highlight w:val="yellow"/>
              </w:rPr>
            </w:pPr>
            <w:r>
              <w:rPr>
                <w:rFonts w:hint="eastAsia" w:ascii="Times New Roman" w:hAnsi="Times New Roman" w:cs="Times New Roman"/>
                <w:color w:val="auto"/>
                <w:highlight w:val="yellow"/>
              </w:rPr>
              <w:t>响应文件份数</w:t>
            </w:r>
          </w:p>
        </w:tc>
        <w:tc>
          <w:tcPr>
            <w:tcW w:w="5609" w:type="dxa"/>
            <w:tcBorders>
              <w:top w:val="single" w:color="auto" w:sz="4" w:space="0"/>
              <w:left w:val="single" w:color="auto" w:sz="4" w:space="0"/>
              <w:bottom w:val="single" w:color="auto" w:sz="4" w:space="0"/>
              <w:right w:val="single" w:color="auto" w:sz="4" w:space="0"/>
            </w:tcBorders>
            <w:vAlign w:val="center"/>
          </w:tcPr>
          <w:p w14:paraId="5516EA5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auto"/>
                <w:szCs w:val="21"/>
                <w:highlight w:val="yellow"/>
                <w:u w:val="single"/>
              </w:rPr>
            </w:pPr>
            <w:r>
              <w:rPr>
                <w:rFonts w:hint="eastAsia" w:ascii="Times New Roman" w:hAnsi="Times New Roman" w:cs="Times New Roman"/>
                <w:color w:val="auto"/>
                <w:highlight w:val="yellow"/>
              </w:rPr>
              <w:t>响应文件应</w:t>
            </w:r>
            <w:r>
              <w:rPr>
                <w:rFonts w:hint="eastAsia" w:ascii="Times New Roman" w:hAnsi="Times New Roman" w:cs="Times New Roman"/>
                <w:b/>
                <w:bCs/>
                <w:color w:val="auto"/>
                <w:highlight w:val="yellow"/>
              </w:rPr>
              <w:t>胶装成册，</w:t>
            </w:r>
            <w:r>
              <w:rPr>
                <w:rFonts w:ascii="Times New Roman" w:hAnsi="Times New Roman" w:cs="Times New Roman"/>
                <w:color w:val="auto"/>
                <w:highlight w:val="yellow"/>
              </w:rPr>
              <w:t>正</w:t>
            </w:r>
            <w:r>
              <w:rPr>
                <w:rFonts w:hint="eastAsia" w:ascii="Times New Roman" w:hAnsi="Times New Roman" w:cs="Times New Roman"/>
                <w:color w:val="auto"/>
                <w:highlight w:val="yellow"/>
              </w:rPr>
              <w:t>、副本各</w:t>
            </w:r>
            <w:r>
              <w:rPr>
                <w:rFonts w:ascii="Times New Roman" w:hAnsi="Times New Roman" w:cs="Times New Roman"/>
                <w:color w:val="auto"/>
                <w:highlight w:val="yellow"/>
              </w:rPr>
              <w:t>一份。</w:t>
            </w:r>
            <w:r>
              <w:rPr>
                <w:rFonts w:hint="eastAsia" w:ascii="Times New Roman" w:hAnsi="Times New Roman" w:cs="Times New Roman"/>
                <w:color w:val="auto"/>
                <w:highlight w:val="yellow"/>
              </w:rPr>
              <w:t>正副本内容不一致时，以正本为准。</w:t>
            </w:r>
          </w:p>
        </w:tc>
      </w:tr>
      <w:tr w14:paraId="5EA0B9E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74E51AB">
            <w:pPr>
              <w:spacing w:line="480" w:lineRule="exact"/>
              <w:jc w:val="center"/>
              <w:rPr>
                <w:rFonts w:ascii="Times New Roman" w:hAnsi="Times New Roman" w:eastAsia="宋体" w:cs="Times New Roman"/>
                <w:color w:val="auto"/>
                <w:szCs w:val="21"/>
              </w:rPr>
            </w:pPr>
            <w:r>
              <w:rPr>
                <w:rFonts w:hint="eastAsia" w:ascii="Times New Roman" w:hAnsi="Times New Roman" w:cs="Times New Roman"/>
                <w:color w:val="auto"/>
              </w:rPr>
              <w:t>4.1</w:t>
            </w:r>
          </w:p>
        </w:tc>
        <w:tc>
          <w:tcPr>
            <w:tcW w:w="2572" w:type="dxa"/>
            <w:tcBorders>
              <w:top w:val="single" w:color="auto" w:sz="4" w:space="0"/>
              <w:left w:val="single" w:color="auto" w:sz="4" w:space="0"/>
              <w:bottom w:val="single" w:color="auto" w:sz="4" w:space="0"/>
              <w:right w:val="single" w:color="auto" w:sz="4" w:space="0"/>
            </w:tcBorders>
            <w:vAlign w:val="center"/>
          </w:tcPr>
          <w:p w14:paraId="529FE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yellow"/>
              </w:rPr>
            </w:pPr>
            <w:r>
              <w:rPr>
                <w:rFonts w:hint="eastAsia" w:ascii="Times New Roman" w:hAnsi="Times New Roman" w:cs="Times New Roman"/>
                <w:b/>
                <w:bCs/>
                <w:color w:val="auto"/>
                <w:highlight w:val="yellow"/>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14:paraId="673748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响应文件胶装，封口处须密封并加盖企业公章。</w:t>
            </w:r>
          </w:p>
          <w:p w14:paraId="2AF30E4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auto"/>
                <w:highlight w:val="yellow"/>
              </w:rPr>
            </w:pPr>
            <w:r>
              <w:rPr>
                <w:rFonts w:hint="eastAsia" w:ascii="宋体" w:hAnsi="宋体" w:eastAsia="宋体" w:cs="宋体"/>
                <w:b/>
                <w:bCs w:val="0"/>
                <w:color w:val="auto"/>
                <w:kern w:val="2"/>
                <w:sz w:val="22"/>
                <w:szCs w:val="22"/>
                <w:highlight w:val="yellow"/>
                <w:lang w:val="en-US" w:eastAsia="zh-CN" w:bidi="ar"/>
              </w:rPr>
              <w:t>在响应文件密封袋内需用U盘放报价清单电子版一份（EXCEL版），放盖章版响应文件的扫描件一份（PDF版）；如启封发现上述资料未放齐的，视为形式评审不合格，取消资格。</w:t>
            </w:r>
          </w:p>
        </w:tc>
      </w:tr>
      <w:tr w14:paraId="11106B4D">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14:paraId="57085FCE">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14:paraId="775044F7">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14:paraId="5D729D7B">
            <w:pPr>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5DD3BDE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DF126DD">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14:paraId="676CC779">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14:paraId="78E7B841">
            <w:pPr>
              <w:spacing w:beforeLines="0" w:afterLines="0" w:line="440" w:lineRule="exact"/>
              <w:rPr>
                <w:rFonts w:hint="eastAsia"/>
                <w:color w:val="FF0000"/>
                <w:sz w:val="21"/>
                <w:szCs w:val="21"/>
                <w:highlight w:val="none"/>
              </w:rPr>
            </w:pPr>
            <w:r>
              <w:rPr>
                <w:rFonts w:hint="eastAsia" w:ascii="宋体" w:hAnsi="宋体" w:eastAsia="宋体" w:cs="宋体"/>
                <w:color w:val="auto"/>
                <w:szCs w:val="21"/>
              </w:rPr>
              <w:t>（1）</w:t>
            </w:r>
            <w:r>
              <w:rPr>
                <w:rFonts w:hint="eastAsia" w:ascii="宋体" w:hAnsi="宋体" w:cs="宋体"/>
                <w:b/>
                <w:color w:val="FF0000"/>
                <w:sz w:val="21"/>
                <w:szCs w:val="21"/>
                <w:highlight w:val="none"/>
                <w:lang w:val="en-US" w:eastAsia="zh-CN" w:bidi="ar"/>
              </w:rPr>
              <w:t>成交公示后，在合同签订前，乙方需向甲方支付合同总价2%的履约保证金或提供合同总价5%的银行保函</w:t>
            </w:r>
            <w:r>
              <w:rPr>
                <w:rFonts w:hint="eastAsia" w:ascii="宋体" w:hAnsi="宋体" w:cs="宋体"/>
                <w:b/>
                <w:color w:val="FF0000"/>
                <w:sz w:val="21"/>
                <w:szCs w:val="21"/>
                <w:highlight w:val="none"/>
                <w:lang w:bidi="ar"/>
              </w:rPr>
              <w:t>。</w:t>
            </w:r>
            <w:r>
              <w:rPr>
                <w:rFonts w:hint="eastAsia" w:ascii="宋体" w:hAnsi="宋体" w:eastAsia="宋体" w:cs="宋体"/>
                <w:color w:val="FF0000"/>
                <w:szCs w:val="21"/>
              </w:rPr>
              <w:t xml:space="preserve">  </w:t>
            </w:r>
          </w:p>
          <w:p w14:paraId="0B552E09">
            <w:pPr>
              <w:snapToGrid w:val="0"/>
              <w:spacing w:line="480" w:lineRule="exact"/>
              <w:rPr>
                <w:color w:val="auto"/>
              </w:rPr>
            </w:pPr>
            <w:r>
              <w:rPr>
                <w:rFonts w:hint="eastAsia" w:ascii="宋体" w:hAnsi="宋体" w:eastAsia="宋体" w:cs="宋体"/>
                <w:color w:val="auto"/>
                <w:szCs w:val="21"/>
              </w:rPr>
              <w:t>（2）履约保证金退还时间：该项目物资供应整体验收完成后28天内。</w:t>
            </w:r>
          </w:p>
        </w:tc>
      </w:tr>
      <w:tr w14:paraId="5F7F94F2">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14:paraId="1F281378">
            <w:pPr>
              <w:snapToGrid w:val="0"/>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需要补充的其他内容</w:t>
            </w:r>
          </w:p>
        </w:tc>
      </w:tr>
      <w:tr w14:paraId="13CBE90A">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C81E427">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5E1A76A5">
            <w:pPr>
              <w:snapToGrid w:val="0"/>
              <w:spacing w:line="480" w:lineRule="exact"/>
              <w:rPr>
                <w:color w:val="auto"/>
              </w:rPr>
            </w:pPr>
            <w:r>
              <w:rPr>
                <w:rFonts w:hint="eastAsia"/>
                <w:color w:val="auto"/>
                <w:lang w:val="en-US" w:eastAsia="zh-CN"/>
              </w:rPr>
              <w:t>响应</w:t>
            </w:r>
            <w:r>
              <w:rPr>
                <w:rFonts w:hint="eastAsia"/>
                <w:color w:val="auto"/>
              </w:rPr>
              <w:t>人或其他利害关系人对评</w:t>
            </w:r>
            <w:r>
              <w:rPr>
                <w:rFonts w:hint="eastAsia"/>
                <w:color w:val="auto"/>
                <w:lang w:val="en-US" w:eastAsia="zh-CN"/>
              </w:rPr>
              <w:t>审</w:t>
            </w:r>
            <w:r>
              <w:rPr>
                <w:rFonts w:hint="eastAsia"/>
                <w:color w:val="auto"/>
              </w:rPr>
              <w:t>结果有异议的，应以书面形式提出，异议材料应包括：</w:t>
            </w:r>
          </w:p>
          <w:p w14:paraId="384686E9">
            <w:pPr>
              <w:snapToGrid w:val="0"/>
              <w:spacing w:line="480" w:lineRule="exact"/>
              <w:rPr>
                <w:color w:val="auto"/>
              </w:rPr>
            </w:pPr>
            <w:r>
              <w:rPr>
                <w:rFonts w:hint="eastAsia"/>
                <w:color w:val="auto"/>
              </w:rPr>
              <w:t>（1）异议人的名称、地址及有效联系方式；</w:t>
            </w:r>
          </w:p>
          <w:p w14:paraId="04B272DD">
            <w:pPr>
              <w:snapToGrid w:val="0"/>
              <w:spacing w:line="480" w:lineRule="exact"/>
              <w:rPr>
                <w:color w:val="auto"/>
              </w:rPr>
            </w:pPr>
            <w:r>
              <w:rPr>
                <w:rFonts w:hint="eastAsia"/>
                <w:color w:val="auto"/>
              </w:rPr>
              <w:t>（2）异议事项的基本事实；</w:t>
            </w:r>
          </w:p>
          <w:p w14:paraId="4CED3012">
            <w:pPr>
              <w:snapToGrid w:val="0"/>
              <w:spacing w:line="480" w:lineRule="exact"/>
              <w:rPr>
                <w:color w:val="auto"/>
              </w:rPr>
            </w:pPr>
            <w:r>
              <w:rPr>
                <w:rFonts w:hint="eastAsia"/>
                <w:color w:val="auto"/>
              </w:rPr>
              <w:t>（3）有效线索和相关证明材料。</w:t>
            </w:r>
          </w:p>
          <w:p w14:paraId="425A0DB0">
            <w:pPr>
              <w:snapToGrid w:val="0"/>
              <w:spacing w:line="480" w:lineRule="exact"/>
              <w:ind w:firstLine="420" w:firstLineChars="200"/>
              <w:rPr>
                <w:rFonts w:ascii="Times New Roman" w:hAnsi="Times New Roman" w:eastAsia="宋体" w:cs="Times New Roman"/>
                <w:color w:val="auto"/>
                <w:szCs w:val="21"/>
              </w:rPr>
            </w:pPr>
            <w:r>
              <w:rPr>
                <w:rFonts w:hint="eastAsia"/>
                <w:color w:val="auto"/>
              </w:rPr>
              <w:t>异议人是法人的，异议材料必须由其法定代表人或者授权代表签字并盖章；其他组织或者个人提出异议的，异议材料必须由其主要负责人或者异议本人签字，并附有效身份证明复印件。</w:t>
            </w:r>
          </w:p>
        </w:tc>
      </w:tr>
      <w:tr w14:paraId="246A5899">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0B7DEC8">
            <w:pPr>
              <w:keepNext w:val="0"/>
              <w:keepLines w:val="0"/>
              <w:pageBreakBefore w:val="0"/>
              <w:widowControl w:val="0"/>
              <w:kinsoku/>
              <w:wordWrap/>
              <w:overflowPunct/>
              <w:topLinePunct w:val="0"/>
              <w:autoSpaceDE/>
              <w:autoSpaceDN/>
              <w:bidi w:val="0"/>
              <w:adjustRightInd/>
              <w:spacing w:line="440" w:lineRule="exact"/>
              <w:ind w:firstLine="210" w:firstLineChars="100"/>
              <w:jc w:val="both"/>
              <w:rPr>
                <w:rFonts w:ascii="Times New Roman" w:hAnsi="Times New Roman" w:eastAsia="宋体" w:cs="Times New Roman"/>
                <w:color w:val="auto"/>
                <w:szCs w:val="21"/>
                <w:highlight w:val="yellow"/>
              </w:rPr>
            </w:pPr>
            <w:r>
              <w:rPr>
                <w:rFonts w:hint="eastAsia" w:ascii="Times New Roman" w:hAnsi="Times New Roman" w:eastAsia="宋体" w:cs="Times New Roman"/>
                <w:color w:val="auto"/>
                <w:szCs w:val="21"/>
                <w:highlight w:val="yellow"/>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165AD61">
            <w:pPr>
              <w:pStyle w:val="7"/>
              <w:keepNext w:val="0"/>
              <w:keepLines w:val="0"/>
              <w:pageBreakBefore w:val="0"/>
              <w:widowControl w:val="0"/>
              <w:kinsoku/>
              <w:wordWrap/>
              <w:overflowPunct/>
              <w:topLinePunct w:val="0"/>
              <w:autoSpaceDE/>
              <w:autoSpaceDN/>
              <w:bidi w:val="0"/>
              <w:adjustRightInd/>
              <w:spacing w:after="0" w:line="440" w:lineRule="exact"/>
              <w:ind w:firstLine="420" w:firstLineChars="200"/>
              <w:jc w:val="both"/>
              <w:rPr>
                <w:b w:val="0"/>
                <w:bCs w:val="0"/>
                <w:color w:val="auto"/>
                <w:highlight w:val="yellow"/>
              </w:rPr>
            </w:pPr>
            <w:r>
              <w:rPr>
                <w:rFonts w:hint="eastAsia"/>
                <w:b w:val="0"/>
                <w:bCs w:val="0"/>
                <w:color w:val="auto"/>
                <w:highlight w:val="yellow"/>
                <w:lang w:val="en-US" w:eastAsia="zh-CN"/>
              </w:rPr>
              <w:t>1</w:t>
            </w:r>
            <w:r>
              <w:rPr>
                <w:rFonts w:hint="eastAsia"/>
                <w:b w:val="0"/>
                <w:bCs w:val="0"/>
                <w:color w:val="auto"/>
                <w:highlight w:val="yellow"/>
              </w:rPr>
              <w:t>.报价完全考虑报价清单要求内容，含清单内要求的品牌，材质，工艺，辅材等。</w:t>
            </w:r>
          </w:p>
          <w:p w14:paraId="14B95123">
            <w:pPr>
              <w:keepNext w:val="0"/>
              <w:keepLines w:val="0"/>
              <w:pageBreakBefore w:val="0"/>
              <w:widowControl w:val="0"/>
              <w:kinsoku/>
              <w:wordWrap/>
              <w:overflowPunct/>
              <w:topLinePunct w:val="0"/>
              <w:autoSpaceDE/>
              <w:autoSpaceDN/>
              <w:bidi w:val="0"/>
              <w:adjustRightInd/>
              <w:spacing w:line="440" w:lineRule="exact"/>
              <w:ind w:firstLine="420" w:firstLineChars="200"/>
              <w:jc w:val="both"/>
              <w:rPr>
                <w:rFonts w:ascii="Times New Roman" w:eastAsia="宋体"/>
                <w:b/>
                <w:bCs/>
                <w:color w:val="auto"/>
                <w:highlight w:val="yellow"/>
              </w:rPr>
            </w:pPr>
            <w:r>
              <w:rPr>
                <w:rFonts w:hint="eastAsia"/>
                <w:b w:val="0"/>
                <w:bCs w:val="0"/>
                <w:color w:val="auto"/>
                <w:highlight w:val="yellow"/>
                <w:lang w:val="en-US" w:eastAsia="zh-CN"/>
              </w:rPr>
              <w:t>2</w:t>
            </w:r>
            <w:r>
              <w:rPr>
                <w:rFonts w:hint="eastAsia"/>
                <w:b w:val="0"/>
                <w:bCs w:val="0"/>
                <w:color w:val="auto"/>
                <w:highlight w:val="yellow"/>
              </w:rPr>
              <w:t>.</w:t>
            </w:r>
            <w:r>
              <w:rPr>
                <w:rFonts w:hint="eastAsia" w:ascii="Times New Roman" w:eastAsia="宋体"/>
                <w:b w:val="0"/>
                <w:bCs w:val="0"/>
                <w:color w:val="auto"/>
                <w:highlight w:val="yellow"/>
              </w:rPr>
              <w:t>异常低价或不平衡报价，采购人有权作废除响应资格处理。</w:t>
            </w:r>
          </w:p>
        </w:tc>
      </w:tr>
      <w:tr w14:paraId="45C6CDB7">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ED5B7DB">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9.</w:t>
            </w:r>
            <w:r>
              <w:rPr>
                <w:rFonts w:hint="eastAsia" w:ascii="Times New Roman" w:hAnsi="Times New Roman" w:eastAsia="宋体" w:cs="Times New Roman"/>
                <w:color w:val="auto"/>
                <w:szCs w:val="21"/>
                <w:lang w:val="en-US" w:eastAsia="zh-CN"/>
              </w:rPr>
              <w:t>3</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07FB10F9">
            <w:pPr>
              <w:spacing w:line="480" w:lineRule="exact"/>
              <w:ind w:firstLine="420" w:firstLineChars="200"/>
              <w:rPr>
                <w:rFonts w:ascii="Times New Roman" w:hAnsi="Times New Roman" w:eastAsia="宋体" w:cs="Times New Roman"/>
                <w:color w:val="auto"/>
                <w:szCs w:val="21"/>
              </w:rPr>
            </w:pPr>
            <w:r>
              <w:rPr>
                <w:rFonts w:hint="eastAsia"/>
                <w:color w:val="auto"/>
              </w:rPr>
              <w:t>供货方按合同约定的交货地点交货后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r w14:paraId="3542DF2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F4AE0C5">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9.4</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5D4BFBFC">
            <w:pPr>
              <w:spacing w:line="480" w:lineRule="exact"/>
              <w:ind w:firstLine="440" w:firstLineChars="200"/>
              <w:rPr>
                <w:rFonts w:hint="eastAsia"/>
                <w:color w:val="auto"/>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0FA5C8E3">
        <w:tblPrEx>
          <w:tblCellMar>
            <w:top w:w="0" w:type="dxa"/>
            <w:left w:w="108" w:type="dxa"/>
            <w:bottom w:w="0" w:type="dxa"/>
            <w:right w:w="108" w:type="dxa"/>
          </w:tblCellMar>
        </w:tblPrEx>
        <w:trPr>
          <w:trHeight w:val="2925" w:hRule="atLeast"/>
        </w:trPr>
        <w:tc>
          <w:tcPr>
            <w:tcW w:w="1000" w:type="dxa"/>
            <w:tcBorders>
              <w:top w:val="single" w:color="auto" w:sz="4" w:space="0"/>
              <w:left w:val="single" w:color="auto" w:sz="4" w:space="0"/>
              <w:bottom w:val="single" w:color="auto" w:sz="4" w:space="0"/>
              <w:right w:val="single" w:color="auto" w:sz="4" w:space="0"/>
            </w:tcBorders>
            <w:vAlign w:val="center"/>
          </w:tcPr>
          <w:p w14:paraId="75DF0675">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9.5</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2920A91D">
            <w:pPr>
              <w:keepNext w:val="0"/>
              <w:keepLines w:val="0"/>
              <w:suppressLineNumbers w:val="0"/>
              <w:spacing w:before="0" w:beforeAutospacing="0" w:after="0" w:afterAutospacing="0"/>
              <w:ind w:left="0" w:right="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本次比选项目为我方的意向模拟项目,存在后期未竞得该项目的可能，根据可能发生的情况按下述两种执行。</w:t>
            </w:r>
          </w:p>
          <w:p w14:paraId="42F9DB50">
            <w:pPr>
              <w:keepNext w:val="0"/>
              <w:keepLines w:val="0"/>
              <w:numPr>
                <w:ilvl w:val="0"/>
                <w:numId w:val="0"/>
              </w:numPr>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kern w:val="2"/>
                <w:sz w:val="22"/>
                <w:szCs w:val="22"/>
                <w:highlight w:val="yellow"/>
                <w:lang w:val="en-US" w:eastAsia="zh-CN" w:bidi="ar-SA"/>
              </w:rPr>
              <w:t>1.</w:t>
            </w:r>
            <w:r>
              <w:rPr>
                <w:rFonts w:hint="eastAsia" w:ascii="宋体" w:hAnsi="宋体" w:eastAsia="宋体" w:cs="宋体"/>
                <w:b/>
                <w:bCs/>
                <w:color w:val="auto"/>
                <w:sz w:val="22"/>
                <w:szCs w:val="22"/>
                <w:highlight w:val="yellow"/>
                <w:lang w:val="en-US" w:eastAsia="zh-CN"/>
              </w:rPr>
              <w:t>若我方未竞得该项目，则执行本次比选项目终止，成交人视为无条件认同并接受本条款，不得以此进行索赔。</w:t>
            </w:r>
          </w:p>
          <w:p w14:paraId="6A9FE7A2">
            <w:pPr>
              <w:spacing w:line="480" w:lineRule="exact"/>
              <w:ind w:firstLine="440" w:firstLineChars="200"/>
              <w:rPr>
                <w:rFonts w:hint="eastAsia"/>
                <w:color w:val="auto"/>
              </w:rPr>
            </w:pPr>
            <w:r>
              <w:rPr>
                <w:rFonts w:hint="eastAsia" w:ascii="宋体" w:hAnsi="宋体" w:eastAsia="宋体" w:cs="宋体"/>
                <w:b/>
                <w:bCs/>
                <w:color w:val="auto"/>
                <w:sz w:val="22"/>
                <w:szCs w:val="22"/>
                <w:highlight w:val="yellow"/>
                <w:lang w:val="en-US" w:eastAsia="zh-CN"/>
              </w:rPr>
              <w:t>2.若我方竞得该项目，则执行与本次比选项目成交人签订采购合同，按合同履约程序。</w:t>
            </w:r>
          </w:p>
        </w:tc>
      </w:tr>
      <w:tr w14:paraId="44F772F3">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70D45D2F">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9.6</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C530E25">
            <w:pPr>
              <w:spacing w:beforeLines="0" w:afterLines="0" w:line="320" w:lineRule="exact"/>
              <w:ind w:firstLine="420" w:firstLineChars="200"/>
              <w:textAlignment w:val="top"/>
              <w:rPr>
                <w:rFonts w:hint="eastAsia"/>
                <w:b/>
                <w:color w:val="auto"/>
                <w:sz w:val="21"/>
                <w:szCs w:val="24"/>
                <w:highlight w:val="yellow"/>
              </w:rPr>
            </w:pPr>
            <w:r>
              <w:rPr>
                <w:rFonts w:hint="eastAsia"/>
                <w:b/>
                <w:color w:val="auto"/>
                <w:sz w:val="21"/>
                <w:szCs w:val="24"/>
                <w:highlight w:val="yellow"/>
              </w:rPr>
              <w:t>拟</w:t>
            </w:r>
            <w:r>
              <w:rPr>
                <w:rFonts w:hint="eastAsia"/>
                <w:b/>
                <w:color w:val="auto"/>
                <w:sz w:val="21"/>
                <w:szCs w:val="24"/>
                <w:highlight w:val="yellow"/>
                <w:lang w:val="en-US" w:eastAsia="zh-CN"/>
              </w:rPr>
              <w:t>成交</w:t>
            </w:r>
            <w:r>
              <w:rPr>
                <w:rFonts w:hint="eastAsia"/>
                <w:b/>
                <w:color w:val="auto"/>
                <w:sz w:val="21"/>
                <w:szCs w:val="24"/>
                <w:highlight w:val="yellow"/>
              </w:rPr>
              <w:t>人须在采购人通</w:t>
            </w:r>
            <w:r>
              <w:rPr>
                <w:rFonts w:hint="eastAsia" w:asciiTheme="minorEastAsia" w:hAnsiTheme="minorEastAsia" w:eastAsiaTheme="minorEastAsia" w:cstheme="minorEastAsia"/>
                <w:b/>
                <w:color w:val="auto"/>
                <w:sz w:val="21"/>
                <w:szCs w:val="24"/>
                <w:highlight w:val="yellow"/>
              </w:rPr>
              <w:t>知</w:t>
            </w:r>
            <w:r>
              <w:rPr>
                <w:rFonts w:hint="eastAsia" w:asciiTheme="minorEastAsia" w:hAnsiTheme="minorEastAsia" w:cstheme="minorEastAsia"/>
                <w:b/>
                <w:color w:val="FF0000"/>
                <w:sz w:val="21"/>
                <w:szCs w:val="24"/>
                <w:highlight w:val="yellow"/>
                <w:u w:val="single"/>
                <w:lang w:val="en-US" w:eastAsia="zh-CN"/>
              </w:rPr>
              <w:t xml:space="preserve"> 3 </w:t>
            </w:r>
            <w:r>
              <w:rPr>
                <w:rFonts w:hint="eastAsia" w:asciiTheme="minorEastAsia" w:hAnsiTheme="minorEastAsia" w:eastAsiaTheme="minorEastAsia" w:cstheme="minorEastAsia"/>
                <w:b/>
                <w:color w:val="FF0000"/>
                <w:sz w:val="21"/>
                <w:szCs w:val="24"/>
                <w:highlight w:val="yellow"/>
              </w:rPr>
              <w:t>日</w:t>
            </w:r>
            <w:r>
              <w:rPr>
                <w:rFonts w:hint="eastAsia"/>
                <w:b/>
                <w:color w:val="FF0000"/>
                <w:sz w:val="21"/>
                <w:szCs w:val="24"/>
                <w:highlight w:val="yellow"/>
              </w:rPr>
              <w:t>内</w:t>
            </w:r>
            <w:r>
              <w:rPr>
                <w:rFonts w:hint="eastAsia"/>
                <w:b/>
                <w:color w:val="auto"/>
                <w:sz w:val="21"/>
                <w:szCs w:val="24"/>
                <w:highlight w:val="yellow"/>
              </w:rPr>
              <w:t>送样经采购人确认，如所送样品不符合产品要求或在供应过程中达不到采购人要求的：</w:t>
            </w:r>
          </w:p>
          <w:p w14:paraId="2FA9E3A5">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1）采购人有权终止</w:t>
            </w:r>
            <w:r>
              <w:rPr>
                <w:rFonts w:hint="eastAsia"/>
                <w:color w:val="auto"/>
                <w:sz w:val="21"/>
                <w:szCs w:val="24"/>
                <w:highlight w:val="yellow"/>
                <w:lang w:val="en-US" w:eastAsia="zh-CN"/>
              </w:rPr>
              <w:t>成交</w:t>
            </w:r>
            <w:r>
              <w:rPr>
                <w:rFonts w:hint="eastAsia"/>
                <w:color w:val="auto"/>
                <w:sz w:val="21"/>
                <w:szCs w:val="24"/>
                <w:highlight w:val="yellow"/>
              </w:rPr>
              <w:t>候选人资格，并没收</w:t>
            </w:r>
            <w:r>
              <w:rPr>
                <w:rFonts w:hint="eastAsia"/>
                <w:color w:val="auto"/>
                <w:sz w:val="21"/>
                <w:szCs w:val="24"/>
                <w:highlight w:val="yellow"/>
                <w:lang w:val="en-US" w:eastAsia="zh-CN"/>
              </w:rPr>
              <w:t>响应</w:t>
            </w:r>
            <w:r>
              <w:rPr>
                <w:rFonts w:hint="eastAsia"/>
                <w:color w:val="auto"/>
                <w:sz w:val="21"/>
                <w:szCs w:val="24"/>
                <w:highlight w:val="yellow"/>
              </w:rPr>
              <w:t>保证金；按候选人公示顺延成交人或重新采购。</w:t>
            </w:r>
          </w:p>
          <w:p w14:paraId="0B3309BA">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2）采购人有权终止合同，并依据合同规定追究法律责任。</w:t>
            </w:r>
          </w:p>
          <w:p w14:paraId="18B1828B">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3）采购人有权对拟</w:t>
            </w:r>
            <w:r>
              <w:rPr>
                <w:rFonts w:hint="eastAsia"/>
                <w:color w:val="auto"/>
                <w:sz w:val="21"/>
                <w:szCs w:val="24"/>
                <w:highlight w:val="yellow"/>
                <w:lang w:val="en-US" w:eastAsia="zh-CN"/>
              </w:rPr>
              <w:t>成交</w:t>
            </w:r>
            <w:r>
              <w:rPr>
                <w:rFonts w:hint="eastAsia"/>
                <w:color w:val="auto"/>
                <w:sz w:val="21"/>
                <w:szCs w:val="24"/>
                <w:highlight w:val="yellow"/>
              </w:rPr>
              <w:t>人违约行为按照约定进行处罚。</w:t>
            </w:r>
          </w:p>
          <w:p w14:paraId="168496C4">
            <w:pPr>
              <w:spacing w:line="480" w:lineRule="exact"/>
              <w:ind w:firstLine="420" w:firstLineChars="200"/>
              <w:rPr>
                <w:rFonts w:hint="eastAsia" w:ascii="宋体" w:hAnsi="宋体" w:eastAsia="宋体" w:cs="宋体"/>
                <w:b/>
                <w:bCs/>
                <w:color w:val="auto"/>
                <w:sz w:val="22"/>
                <w:szCs w:val="22"/>
                <w:highlight w:val="yellow"/>
                <w:lang w:val="en-US" w:eastAsia="zh-CN"/>
              </w:rPr>
            </w:pPr>
            <w:r>
              <w:rPr>
                <w:rFonts w:hint="eastAsia"/>
                <w:color w:val="auto"/>
                <w:sz w:val="21"/>
                <w:szCs w:val="24"/>
                <w:highlight w:val="yellow"/>
              </w:rPr>
              <w:t>4）采购人有权将未完成的供货部分移交给第三方实施，供应商应无条件配合相关移交工作。</w:t>
            </w:r>
          </w:p>
        </w:tc>
      </w:tr>
    </w:tbl>
    <w:p w14:paraId="76CEB43A">
      <w:pPr>
        <w:rPr>
          <w:color w:val="auto"/>
        </w:rPr>
      </w:pPr>
      <w:r>
        <w:rPr>
          <w:rFonts w:hint="eastAsia" w:ascii="Times New Roman" w:hAnsi="Times New Roman" w:cs="Times New Roman"/>
          <w:color w:val="auto"/>
          <w:szCs w:val="21"/>
        </w:rPr>
        <w:t>注：供应商须知正文</w:t>
      </w:r>
      <w:r>
        <w:rPr>
          <w:rFonts w:ascii="Times New Roman" w:hAnsi="Times New Roman" w:cs="Times New Roman"/>
          <w:color w:val="auto"/>
          <w:szCs w:val="21"/>
        </w:rPr>
        <w:t>与前附表</w:t>
      </w:r>
      <w:r>
        <w:rPr>
          <w:rFonts w:hint="eastAsia" w:ascii="Times New Roman" w:hAnsi="Times New Roman" w:cs="Times New Roman"/>
          <w:color w:val="auto"/>
          <w:szCs w:val="21"/>
        </w:rPr>
        <w:t>内容</w:t>
      </w:r>
      <w:r>
        <w:rPr>
          <w:rFonts w:ascii="Times New Roman" w:hAnsi="Times New Roman" w:cs="Times New Roman"/>
          <w:color w:val="auto"/>
          <w:szCs w:val="21"/>
        </w:rPr>
        <w:t>不一致</w:t>
      </w:r>
      <w:r>
        <w:rPr>
          <w:rFonts w:hint="eastAsia" w:ascii="Times New Roman" w:hAnsi="Times New Roman" w:cs="Times New Roman"/>
          <w:color w:val="auto"/>
          <w:szCs w:val="21"/>
        </w:rPr>
        <w:t>时</w:t>
      </w:r>
      <w:r>
        <w:rPr>
          <w:rFonts w:ascii="Times New Roman" w:hAnsi="Times New Roman" w:cs="Times New Roman"/>
          <w:color w:val="auto"/>
          <w:szCs w:val="21"/>
        </w:rPr>
        <w:t>，以供应商</w:t>
      </w:r>
      <w:r>
        <w:rPr>
          <w:rFonts w:hint="eastAsia" w:ascii="Times New Roman" w:hAnsi="Times New Roman" w:cs="Times New Roman"/>
          <w:color w:val="auto"/>
          <w:szCs w:val="21"/>
        </w:rPr>
        <w:t>须知</w:t>
      </w:r>
      <w:r>
        <w:rPr>
          <w:rFonts w:ascii="Times New Roman" w:hAnsi="Times New Roman" w:cs="Times New Roman"/>
          <w:color w:val="auto"/>
          <w:szCs w:val="21"/>
        </w:rPr>
        <w:t>前附表</w:t>
      </w:r>
      <w:r>
        <w:rPr>
          <w:rFonts w:hint="eastAsia" w:ascii="Times New Roman" w:hAnsi="Times New Roman" w:cs="Times New Roman"/>
          <w:color w:val="auto"/>
          <w:szCs w:val="21"/>
        </w:rPr>
        <w:t>的</w:t>
      </w:r>
      <w:r>
        <w:rPr>
          <w:rFonts w:ascii="Times New Roman" w:hAnsi="Times New Roman" w:cs="Times New Roman"/>
          <w:color w:val="auto"/>
          <w:szCs w:val="21"/>
        </w:rPr>
        <w:t>内容为准</w:t>
      </w:r>
      <w:r>
        <w:rPr>
          <w:rFonts w:hint="eastAsia" w:ascii="Times New Roman" w:hAnsi="Times New Roman" w:cs="Times New Roman"/>
          <w:color w:val="auto"/>
          <w:szCs w:val="21"/>
        </w:rPr>
        <w:t>。</w:t>
      </w:r>
    </w:p>
    <w:p w14:paraId="72E51199">
      <w:pPr>
        <w:rPr>
          <w:rFonts w:ascii="Times New Roman" w:hAnsi="Times New Roman" w:eastAsia="黑体" w:cs="Times New Roman"/>
          <w:bCs/>
          <w:color w:val="auto"/>
          <w:sz w:val="24"/>
          <w:szCs w:val="32"/>
        </w:rPr>
      </w:pPr>
      <w:bookmarkStart w:id="49" w:name="_Toc9067720"/>
      <w:bookmarkStart w:id="50" w:name="_Toc14201207"/>
      <w:bookmarkStart w:id="51" w:name="_Toc26656938"/>
      <w:r>
        <w:rPr>
          <w:rFonts w:ascii="Times New Roman" w:hAnsi="Times New Roman" w:eastAsia="黑体" w:cs="Times New Roman"/>
          <w:bCs/>
          <w:color w:val="auto"/>
          <w:sz w:val="24"/>
          <w:szCs w:val="32"/>
        </w:rPr>
        <w:br w:type="page"/>
      </w:r>
    </w:p>
    <w:p w14:paraId="58E11696">
      <w:pPr>
        <w:jc w:val="center"/>
        <w:rPr>
          <w:color w:val="auto"/>
        </w:rPr>
      </w:pPr>
      <w:r>
        <w:rPr>
          <w:rFonts w:hint="eastAsia" w:ascii="黑体" w:eastAsia="黑体"/>
          <w:color w:val="auto"/>
          <w:sz w:val="24"/>
        </w:rPr>
        <w:t>附录1 资格审查条件（资质最低条件）</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8EBA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14:paraId="4E2C6A02">
            <w:pPr>
              <w:jc w:val="center"/>
              <w:rPr>
                <w:color w:val="auto"/>
                <w:sz w:val="22"/>
                <w:szCs w:val="22"/>
              </w:rPr>
            </w:pPr>
            <w:r>
              <w:rPr>
                <w:rFonts w:hint="eastAsia"/>
                <w:color w:val="auto"/>
                <w:sz w:val="22"/>
                <w:szCs w:val="22"/>
              </w:rPr>
              <w:t>企业资质等级要求</w:t>
            </w:r>
          </w:p>
        </w:tc>
      </w:tr>
      <w:tr w14:paraId="679F3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vAlign w:val="center"/>
          </w:tcPr>
          <w:p w14:paraId="35581A89">
            <w:pPr>
              <w:numPr>
                <w:ilvl w:val="0"/>
                <w:numId w:val="0"/>
              </w:numPr>
              <w:snapToGrid w:val="0"/>
              <w:spacing w:beforeLines="0" w:afterLines="0" w:line="400" w:lineRule="exact"/>
              <w:ind w:firstLine="420" w:firstLineChars="200"/>
              <w:rPr>
                <w:rFonts w:hint="eastAsia" w:ascii="Times New Roman" w:hAnsi="Times New Roman"/>
                <w:color w:val="auto"/>
                <w:sz w:val="21"/>
                <w:szCs w:val="22"/>
                <w:highlight w:val="none"/>
                <w:u w:val="single"/>
                <w:lang w:val="en-US" w:eastAsia="zh-CN"/>
              </w:rPr>
            </w:pPr>
            <w:r>
              <w:rPr>
                <w:rFonts w:hint="eastAsia" w:ascii="Times New Roman" w:hAnsi="Times New Roman"/>
                <w:color w:val="auto"/>
                <w:sz w:val="21"/>
                <w:szCs w:val="22"/>
                <w:highlight w:val="none"/>
                <w:u w:val="single"/>
                <w:lang w:val="en-US" w:eastAsia="zh-CN"/>
              </w:rPr>
              <w:t xml:space="preserve">①具备独立法人资格，持有有效的营业执照。  </w:t>
            </w:r>
          </w:p>
          <w:p w14:paraId="384704AF">
            <w:pPr>
              <w:numPr>
                <w:ilvl w:val="0"/>
                <w:numId w:val="0"/>
              </w:numPr>
              <w:snapToGrid w:val="0"/>
              <w:spacing w:beforeLines="0" w:afterLines="0" w:line="400" w:lineRule="exact"/>
              <w:ind w:firstLine="420" w:firstLineChars="200"/>
              <w:rPr>
                <w:rFonts w:hint="eastAsia" w:eastAsiaTheme="minorEastAsia"/>
                <w:color w:val="auto"/>
                <w:sz w:val="22"/>
                <w:szCs w:val="22"/>
                <w:lang w:eastAsia="zh-CN"/>
              </w:rPr>
            </w:pPr>
            <w:r>
              <w:rPr>
                <w:rFonts w:hint="eastAsia" w:ascii="Times New Roman" w:hAnsi="Times New Roman"/>
                <w:color w:val="auto"/>
                <w:sz w:val="21"/>
                <w:szCs w:val="22"/>
                <w:highlight w:val="none"/>
                <w:u w:val="single"/>
                <w:lang w:val="en-US" w:eastAsia="zh-CN"/>
              </w:rPr>
              <w:t>②制造商/厂家参与询比的，应具备有生产、销售采购人所需材料的能力；经销商/代理商参加询比的，应具备销售采购人所需材料的能力（提供所投产品业绩进行证明）。</w:t>
            </w:r>
          </w:p>
        </w:tc>
      </w:tr>
    </w:tbl>
    <w:p w14:paraId="634D91B1">
      <w:pPr>
        <w:tabs>
          <w:tab w:val="left" w:pos="400"/>
        </w:tabs>
        <w:overflowPunct w:val="0"/>
        <w:adjustRightInd w:val="0"/>
        <w:snapToGrid w:val="0"/>
        <w:ind w:firstLine="480" w:firstLineChars="200"/>
        <w:rPr>
          <w:rFonts w:hint="eastAsia" w:ascii="华文楷体" w:hAnsi="华文楷体" w:eastAsia="华文楷体" w:cs="华文楷体"/>
          <w:color w:val="auto"/>
          <w:sz w:val="24"/>
        </w:rPr>
      </w:pPr>
    </w:p>
    <w:p w14:paraId="31DB3022">
      <w:pPr>
        <w:pStyle w:val="7"/>
        <w:rPr>
          <w:color w:val="auto"/>
        </w:rPr>
      </w:pPr>
    </w:p>
    <w:p w14:paraId="40D2535B">
      <w:pPr>
        <w:jc w:val="center"/>
        <w:rPr>
          <w:color w:val="auto"/>
          <w:sz w:val="24"/>
        </w:rPr>
      </w:pPr>
      <w:r>
        <w:rPr>
          <w:rFonts w:hint="eastAsia" w:ascii="黑体" w:eastAsia="黑体"/>
          <w:color w:val="auto"/>
          <w:sz w:val="24"/>
        </w:rPr>
        <w:t>附录</w:t>
      </w:r>
      <w:r>
        <w:rPr>
          <w:rFonts w:hint="eastAsia" w:eastAsia="黑体"/>
          <w:color w:val="auto"/>
          <w:sz w:val="24"/>
        </w:rPr>
        <w:t>2</w:t>
      </w:r>
      <w:r>
        <w:rPr>
          <w:rFonts w:hint="eastAsia" w:ascii="黑体" w:eastAsia="黑体"/>
          <w:color w:val="auto"/>
          <w:sz w:val="24"/>
        </w:rPr>
        <w:t xml:space="preserve"> 资格审查条件（业绩最低要求）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A9AE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vAlign w:val="center"/>
          </w:tcPr>
          <w:p w14:paraId="5FD49D14">
            <w:pPr>
              <w:jc w:val="center"/>
              <w:rPr>
                <w:color w:val="auto"/>
                <w:sz w:val="22"/>
                <w:szCs w:val="22"/>
              </w:rPr>
            </w:pPr>
            <w:r>
              <w:rPr>
                <w:rFonts w:hint="eastAsia"/>
                <w:color w:val="auto"/>
                <w:sz w:val="22"/>
                <w:szCs w:val="22"/>
              </w:rPr>
              <w:t>业 绩 要 求</w:t>
            </w:r>
          </w:p>
        </w:tc>
      </w:tr>
      <w:tr w14:paraId="07D19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072" w:type="dxa"/>
            <w:vAlign w:val="center"/>
          </w:tcPr>
          <w:p w14:paraId="01F90F01">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color w:val="auto"/>
                <w:highlight w:val="none"/>
                <w:lang w:val="en-US" w:eastAsia="zh-CN"/>
              </w:rPr>
              <w:t>01包电缆：至少提供1个自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eastAsia"/>
                <w:color w:val="auto"/>
                <w:highlight w:val="none"/>
                <w:lang w:val="en-US" w:eastAsia="zh-CN"/>
              </w:rPr>
              <w:t>以来</w:t>
            </w:r>
            <w:r>
              <w:rPr>
                <w:rFonts w:hint="default" w:ascii="Times New Roman" w:hAnsi="Times New Roman" w:cs="Times New Roman" w:eastAsiaTheme="minorEastAsia"/>
                <w:b w:val="0"/>
                <w:bCs w:val="0"/>
                <w:color w:val="auto"/>
                <w:highlight w:val="none"/>
                <w:u w:val="single"/>
                <w:lang w:val="en-US" w:eastAsia="zh-CN"/>
              </w:rPr>
              <w:t>，单项合同额不低于</w:t>
            </w:r>
            <w:r>
              <w:rPr>
                <w:rFonts w:hint="eastAsia" w:ascii="Times New Roman" w:hAnsi="Times New Roman" w:cs="Times New Roman"/>
                <w:b w:val="0"/>
                <w:bCs w:val="0"/>
                <w:color w:val="FF0000"/>
                <w:highlight w:val="none"/>
                <w:u w:val="single"/>
                <w:lang w:val="en-US" w:eastAsia="zh-CN"/>
              </w:rPr>
              <w:t>250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电缆</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2B058828">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color w:val="auto"/>
                <w:highlight w:val="none"/>
                <w:lang w:val="en-US" w:eastAsia="zh-CN"/>
              </w:rPr>
              <w:t>02包变压器：至少提供1个自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eastAsia"/>
                <w:color w:val="auto"/>
                <w:highlight w:val="none"/>
                <w:lang w:val="en-US" w:eastAsia="zh-CN"/>
              </w:rPr>
              <w:t>以来</w:t>
            </w:r>
            <w:r>
              <w:rPr>
                <w:rFonts w:hint="default" w:ascii="Times New Roman" w:hAnsi="Times New Roman" w:cs="Times New Roman" w:eastAsiaTheme="minorEastAsia"/>
                <w:b w:val="0"/>
                <w:bCs w:val="0"/>
                <w:color w:val="auto"/>
                <w:highlight w:val="none"/>
                <w:u w:val="single"/>
                <w:lang w:val="en-US" w:eastAsia="zh-CN"/>
              </w:rPr>
              <w:t>，单项合同额不低于</w:t>
            </w:r>
            <w:r>
              <w:rPr>
                <w:rFonts w:hint="eastAsia" w:ascii="Times New Roman" w:hAnsi="Times New Roman" w:cs="Times New Roman"/>
                <w:b w:val="0"/>
                <w:bCs w:val="0"/>
                <w:color w:val="FF0000"/>
                <w:highlight w:val="none"/>
                <w:u w:val="single"/>
                <w:lang w:val="en-US" w:eastAsia="zh-CN"/>
              </w:rPr>
              <w:t>200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变压器</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183DF55F">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color w:val="auto"/>
                <w:highlight w:val="none"/>
                <w:lang w:val="en-US" w:eastAsia="zh-CN"/>
              </w:rPr>
              <w:t>03包断路器：至少提供1个自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eastAsia"/>
                <w:color w:val="auto"/>
                <w:highlight w:val="none"/>
                <w:lang w:val="en-US" w:eastAsia="zh-CN"/>
              </w:rPr>
              <w:t>以来</w:t>
            </w:r>
            <w:r>
              <w:rPr>
                <w:rFonts w:hint="default" w:ascii="Times New Roman" w:hAnsi="Times New Roman" w:cs="Times New Roman" w:eastAsiaTheme="minorEastAsia"/>
                <w:b w:val="0"/>
                <w:bCs w:val="0"/>
                <w:color w:val="auto"/>
                <w:highlight w:val="none"/>
                <w:u w:val="single"/>
                <w:lang w:val="en-US" w:eastAsia="zh-CN"/>
              </w:rPr>
              <w:t>，单项合同额不低于</w:t>
            </w:r>
            <w:r>
              <w:rPr>
                <w:rFonts w:hint="eastAsia" w:ascii="Times New Roman" w:hAnsi="Times New Roman" w:cs="Times New Roman"/>
                <w:b w:val="0"/>
                <w:bCs w:val="0"/>
                <w:color w:val="FF0000"/>
                <w:highlight w:val="none"/>
                <w:u w:val="single"/>
                <w:lang w:val="en-US" w:eastAsia="zh-CN"/>
              </w:rPr>
              <w:t>60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断路器</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0DA2911F">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eastAsia" w:ascii="Times New Roman" w:hAnsi="Times New Roman" w:cs="Times New Roman"/>
                <w:b w:val="0"/>
                <w:bCs w:val="0"/>
                <w:color w:val="auto"/>
                <w:szCs w:val="21"/>
                <w:highlight w:val="none"/>
                <w:u w:val="single"/>
                <w:lang w:val="en-US" w:eastAsia="zh-CN"/>
              </w:rPr>
            </w:pPr>
            <w:r>
              <w:rPr>
                <w:rFonts w:hint="eastAsia"/>
                <w:color w:val="auto"/>
                <w:highlight w:val="none"/>
                <w:lang w:val="en-US" w:eastAsia="zh-CN"/>
              </w:rPr>
              <w:t>04包预制舱：至少提供1个自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eastAsia"/>
                <w:color w:val="auto"/>
                <w:highlight w:val="none"/>
                <w:lang w:val="en-US" w:eastAsia="zh-CN"/>
              </w:rPr>
              <w:t>以来</w:t>
            </w:r>
            <w:r>
              <w:rPr>
                <w:rFonts w:hint="default" w:ascii="Times New Roman" w:hAnsi="Times New Roman" w:cs="Times New Roman" w:eastAsiaTheme="minorEastAsia"/>
                <w:b w:val="0"/>
                <w:bCs w:val="0"/>
                <w:color w:val="auto"/>
                <w:highlight w:val="none"/>
                <w:u w:val="single"/>
                <w:lang w:val="en-US" w:eastAsia="zh-CN"/>
              </w:rPr>
              <w:t>，单项合同额不低于</w:t>
            </w:r>
            <w:r>
              <w:rPr>
                <w:rFonts w:hint="eastAsia" w:ascii="Times New Roman" w:hAnsi="Times New Roman" w:cs="Times New Roman"/>
                <w:b w:val="0"/>
                <w:bCs w:val="0"/>
                <w:color w:val="FF0000"/>
                <w:highlight w:val="none"/>
                <w:u w:val="single"/>
                <w:lang w:val="en-US" w:eastAsia="zh-CN"/>
              </w:rPr>
              <w:t>100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预制舱</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1EE61A30">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eastAsiaTheme="minorEastAsia"/>
                <w:color w:val="auto"/>
                <w:lang w:val="en-US" w:eastAsia="zh-CN"/>
              </w:rPr>
            </w:pPr>
            <w:r>
              <w:rPr>
                <w:rFonts w:hint="eastAsia"/>
                <w:color w:val="auto"/>
                <w:highlight w:val="none"/>
                <w:lang w:val="en-US" w:eastAsia="zh-CN"/>
              </w:rPr>
              <w:t>05包箱变：至少提供1个自</w:t>
            </w:r>
            <w:r>
              <w:rPr>
                <w:rFonts w:hint="eastAsia" w:ascii="Times New Roman" w:hAnsi="Times New Roman" w:cs="Times New Roman"/>
                <w:b w:val="0"/>
                <w:bCs w:val="0"/>
                <w:color w:val="FF0000"/>
                <w:highlight w:val="none"/>
                <w:u w:val="single"/>
                <w:lang w:val="en-US" w:eastAsia="zh-CN"/>
              </w:rPr>
              <w:t xml:space="preserve">2022 </w:t>
            </w:r>
            <w:r>
              <w:rPr>
                <w:rFonts w:hint="default" w:ascii="Times New Roman" w:hAnsi="Times New Roman" w:cs="Times New Roman" w:eastAsiaTheme="minorEastAsia"/>
                <w:b w:val="0"/>
                <w:bCs w:val="0"/>
                <w:color w:val="FF0000"/>
                <w:highlight w:val="none"/>
                <w:u w:val="single"/>
                <w:lang w:val="en-US" w:eastAsia="zh-CN"/>
              </w:rPr>
              <w:t>年</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月</w:t>
            </w:r>
            <w:r>
              <w:rPr>
                <w:rFonts w:hint="eastAsia" w:ascii="Times New Roman" w:hAnsi="Times New Roman" w:cs="Times New Roman"/>
                <w:b w:val="0"/>
                <w:bCs w:val="0"/>
                <w:color w:val="FF0000"/>
                <w:highlight w:val="none"/>
                <w:u w:val="single"/>
                <w:lang w:val="en-US" w:eastAsia="zh-CN"/>
              </w:rPr>
              <w:t xml:space="preserve"> 1 </w:t>
            </w:r>
            <w:r>
              <w:rPr>
                <w:rFonts w:hint="default" w:ascii="Times New Roman" w:hAnsi="Times New Roman" w:cs="Times New Roman" w:eastAsiaTheme="minorEastAsia"/>
                <w:b w:val="0"/>
                <w:bCs w:val="0"/>
                <w:color w:val="FF0000"/>
                <w:highlight w:val="none"/>
                <w:u w:val="single"/>
                <w:lang w:val="en-US" w:eastAsia="zh-CN"/>
              </w:rPr>
              <w:t>日</w:t>
            </w:r>
            <w:r>
              <w:rPr>
                <w:rFonts w:hint="eastAsia"/>
                <w:color w:val="auto"/>
                <w:highlight w:val="none"/>
                <w:lang w:val="en-US" w:eastAsia="zh-CN"/>
              </w:rPr>
              <w:t>以来</w:t>
            </w:r>
            <w:r>
              <w:rPr>
                <w:rFonts w:hint="default" w:ascii="Times New Roman" w:hAnsi="Times New Roman" w:cs="Times New Roman" w:eastAsiaTheme="minorEastAsia"/>
                <w:b w:val="0"/>
                <w:bCs w:val="0"/>
                <w:color w:val="auto"/>
                <w:highlight w:val="none"/>
                <w:u w:val="single"/>
                <w:lang w:val="en-US" w:eastAsia="zh-CN"/>
              </w:rPr>
              <w:t>，单项合同额不低于</w:t>
            </w:r>
            <w:r>
              <w:rPr>
                <w:rFonts w:hint="eastAsia" w:ascii="Times New Roman" w:hAnsi="Times New Roman" w:cs="Times New Roman"/>
                <w:b w:val="0"/>
                <w:bCs w:val="0"/>
                <w:color w:val="FF0000"/>
                <w:highlight w:val="none"/>
                <w:u w:val="single"/>
                <w:lang w:val="en-US" w:eastAsia="zh-CN"/>
              </w:rPr>
              <w:t>100</w:t>
            </w:r>
            <w:r>
              <w:rPr>
                <w:rFonts w:hint="default" w:ascii="Times New Roman" w:hAnsi="Times New Roman" w:cs="Times New Roman" w:eastAsiaTheme="minorEastAsia"/>
                <w:b w:val="0"/>
                <w:bCs w:val="0"/>
                <w:color w:val="FF0000"/>
                <w:highlight w:val="none"/>
                <w:u w:val="single"/>
                <w:lang w:val="en-US" w:eastAsia="zh-CN"/>
              </w:rPr>
              <w:t>万元的</w:t>
            </w:r>
            <w:r>
              <w:rPr>
                <w:rFonts w:hint="eastAsia" w:ascii="Times New Roman" w:hAnsi="Times New Roman" w:cs="Times New Roman"/>
                <w:b w:val="0"/>
                <w:bCs w:val="0"/>
                <w:color w:val="FF0000"/>
                <w:highlight w:val="none"/>
                <w:u w:val="single"/>
                <w:lang w:val="en-US" w:eastAsia="zh-CN"/>
              </w:rPr>
              <w:t>箱变</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tc>
      </w:tr>
    </w:tbl>
    <w:p w14:paraId="0F78D8A3">
      <w:pPr>
        <w:rPr>
          <w:color w:val="auto"/>
        </w:rPr>
      </w:pPr>
      <w:r>
        <w:rPr>
          <w:rFonts w:hint="eastAsia"/>
          <w:color w:val="auto"/>
        </w:rPr>
        <w:t>业绩证明材料要求如下，否则业绩不予认可。</w:t>
      </w:r>
    </w:p>
    <w:p w14:paraId="2A1BA43B">
      <w:pPr>
        <w:ind w:firstLine="420" w:firstLineChars="200"/>
        <w:rPr>
          <w:color w:val="auto"/>
        </w:rPr>
      </w:pPr>
      <w:r>
        <w:rPr>
          <w:rFonts w:hint="eastAsia"/>
          <w:color w:val="auto"/>
        </w:rPr>
        <w:t xml:space="preserve">①合同协议书扫描件；                                                                                                                                                                                                                                                                                                                                                                                                                                                                                                                                                                                                                                                                                                                                                                                                                                                                                                                                                                                                                                                                                                                                                                                                                                                                                                                                                                                                                                                                                                                                                                                                                                                                                                                                                                                                                                                                                                                                                                                                                                                                                                                                                                          </w:t>
      </w:r>
    </w:p>
    <w:p w14:paraId="01783C10">
      <w:pPr>
        <w:ind w:firstLine="420" w:firstLineChars="200"/>
        <w:rPr>
          <w:color w:val="auto"/>
        </w:rPr>
      </w:pPr>
      <w:r>
        <w:rPr>
          <w:rFonts w:hint="eastAsia"/>
          <w:color w:val="auto"/>
        </w:rPr>
        <w:t>②若合同协议书中不能明确反映出采购文件所要求内容的（如合同金额、合同签订时间、供货内容等），则须提供业主单位（甲方）出具加盖公章的证明材料扫描件。</w:t>
      </w:r>
    </w:p>
    <w:p w14:paraId="7CA4D001">
      <w:pPr>
        <w:ind w:firstLine="420" w:firstLineChars="200"/>
        <w:rPr>
          <w:color w:val="auto"/>
        </w:rPr>
      </w:pPr>
      <w:r>
        <w:rPr>
          <w:rFonts w:hint="eastAsia"/>
          <w:color w:val="auto"/>
        </w:rPr>
        <w:t>③若业绩合同中包含多项设备，则合同中应能体现资格要求中所需设备的内容和金额，无法体现的，须提供供货单据、供货发票、业主验收单等能证明相关评审因素的证明材料，否则业绩</w:t>
      </w:r>
      <w:r>
        <w:rPr>
          <w:rFonts w:hint="eastAsia"/>
          <w:color w:val="auto"/>
          <w:lang w:eastAsia="zh-CN"/>
        </w:rPr>
        <w:t>不予</w:t>
      </w:r>
      <w:r>
        <w:rPr>
          <w:rFonts w:hint="eastAsia"/>
          <w:color w:val="auto"/>
        </w:rPr>
        <w:t>认可。</w:t>
      </w:r>
    </w:p>
    <w:p w14:paraId="59CCBE48">
      <w:pPr>
        <w:ind w:firstLine="420" w:firstLineChars="200"/>
        <w:rPr>
          <w:rFonts w:ascii="黑体" w:eastAsia="黑体"/>
          <w:bCs/>
          <w:color w:val="auto"/>
        </w:rPr>
      </w:pPr>
      <w:r>
        <w:rPr>
          <w:rFonts w:hint="eastAsia"/>
          <w:color w:val="auto"/>
        </w:rPr>
        <w:t>④如近年来，</w:t>
      </w:r>
      <w:r>
        <w:rPr>
          <w:rFonts w:hint="eastAsia"/>
          <w:color w:val="auto"/>
          <w:lang w:val="en-US" w:eastAsia="zh-CN"/>
        </w:rPr>
        <w:t>响应</w:t>
      </w:r>
      <w:r>
        <w:rPr>
          <w:rFonts w:hint="eastAsia"/>
          <w:color w:val="auto"/>
        </w:rPr>
        <w:t>人法人机构发生合法变更或重组或法人名称变更时，应提供相关部门的合法批件扫描件或其他相关证明材料扫描件来证明其所</w:t>
      </w:r>
      <w:r>
        <w:rPr>
          <w:rFonts w:hint="eastAsia"/>
          <w:color w:val="auto"/>
          <w:szCs w:val="21"/>
        </w:rPr>
        <w:t>附业绩的继承性。</w:t>
      </w:r>
    </w:p>
    <w:p w14:paraId="1EACC892">
      <w:pPr>
        <w:ind w:firstLine="480" w:firstLineChars="200"/>
        <w:rPr>
          <w:rFonts w:ascii="黑体" w:eastAsia="黑体"/>
          <w:color w:val="auto"/>
          <w:sz w:val="24"/>
        </w:rPr>
      </w:pPr>
    </w:p>
    <w:p w14:paraId="6597388B">
      <w:pPr>
        <w:pStyle w:val="7"/>
        <w:rPr>
          <w:color w:val="auto"/>
        </w:rPr>
      </w:pPr>
    </w:p>
    <w:p w14:paraId="75610C7A">
      <w:pPr>
        <w:jc w:val="center"/>
        <w:rPr>
          <w:color w:val="auto"/>
          <w:sz w:val="24"/>
        </w:rPr>
      </w:pPr>
      <w:r>
        <w:rPr>
          <w:rFonts w:hint="eastAsia" w:ascii="黑体" w:eastAsia="黑体"/>
          <w:color w:val="auto"/>
          <w:sz w:val="24"/>
        </w:rPr>
        <w:t>附录</w:t>
      </w:r>
      <w:r>
        <w:rPr>
          <w:rFonts w:hint="eastAsia" w:eastAsia="黑体"/>
          <w:color w:val="auto"/>
          <w:sz w:val="24"/>
        </w:rPr>
        <w:t>3</w:t>
      </w:r>
      <w:r>
        <w:rPr>
          <w:rFonts w:hint="eastAsia" w:ascii="黑体" w:eastAsia="黑体"/>
          <w:color w:val="auto"/>
          <w:sz w:val="24"/>
        </w:rPr>
        <w:t>资格审查条件（信誉最低要求）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5B67E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vAlign w:val="center"/>
          </w:tcPr>
          <w:p w14:paraId="27289850">
            <w:pPr>
              <w:jc w:val="center"/>
              <w:rPr>
                <w:color w:val="auto"/>
                <w:sz w:val="22"/>
                <w:szCs w:val="22"/>
              </w:rPr>
            </w:pPr>
            <w:r>
              <w:rPr>
                <w:rFonts w:hint="eastAsia"/>
                <w:color w:val="auto"/>
                <w:sz w:val="22"/>
                <w:szCs w:val="22"/>
              </w:rPr>
              <w:t>信 誉 要 求</w:t>
            </w:r>
          </w:p>
        </w:tc>
      </w:tr>
      <w:tr w14:paraId="65F50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vAlign w:val="center"/>
          </w:tcPr>
          <w:p w14:paraId="3D593BE8">
            <w:pPr>
              <w:spacing w:line="276" w:lineRule="auto"/>
              <w:ind w:firstLine="210" w:firstLineChars="100"/>
              <w:jc w:val="left"/>
              <w:rPr>
                <w:color w:val="auto"/>
              </w:rPr>
            </w:pPr>
            <w:r>
              <w:rPr>
                <w:rFonts w:hint="eastAsia"/>
                <w:color w:val="auto"/>
              </w:rPr>
              <w:t>1.</w:t>
            </w:r>
            <w:r>
              <w:rPr>
                <w:rFonts w:hint="eastAsia"/>
                <w:color w:val="auto"/>
                <w:lang w:val="en-US" w:eastAsia="zh-CN"/>
              </w:rPr>
              <w:t>响应</w:t>
            </w:r>
            <w:r>
              <w:rPr>
                <w:rFonts w:hint="eastAsia"/>
                <w:color w:val="auto"/>
              </w:rPr>
              <w:t>人、法定代表人近三年内无行贿犯罪行为。</w:t>
            </w:r>
          </w:p>
          <w:p w14:paraId="235C112B">
            <w:pPr>
              <w:spacing w:line="276" w:lineRule="auto"/>
              <w:ind w:firstLine="210" w:firstLineChars="100"/>
              <w:jc w:val="left"/>
              <w:rPr>
                <w:color w:val="auto"/>
              </w:rPr>
            </w:pPr>
            <w:r>
              <w:rPr>
                <w:rFonts w:hint="eastAsia"/>
                <w:color w:val="auto"/>
              </w:rPr>
              <w:t>2.</w:t>
            </w:r>
            <w:r>
              <w:rPr>
                <w:rFonts w:hint="eastAsia"/>
                <w:color w:val="auto"/>
                <w:lang w:val="en-US" w:eastAsia="zh-CN"/>
              </w:rPr>
              <w:t>响应</w:t>
            </w:r>
            <w:r>
              <w:rPr>
                <w:rFonts w:hint="eastAsia"/>
                <w:color w:val="auto"/>
              </w:rPr>
              <w:t>人未被人民法院列入失信被执行人（以“信用中国”官网www.creditchina.gov.cn查询为准）。</w:t>
            </w:r>
          </w:p>
          <w:p w14:paraId="1E0B68F4">
            <w:pPr>
              <w:spacing w:line="276" w:lineRule="auto"/>
              <w:ind w:firstLine="210" w:firstLineChars="100"/>
              <w:jc w:val="left"/>
              <w:rPr>
                <w:color w:val="auto"/>
              </w:rPr>
            </w:pPr>
            <w:r>
              <w:rPr>
                <w:rFonts w:hint="eastAsia"/>
                <w:color w:val="auto"/>
              </w:rPr>
              <w:t>3</w:t>
            </w:r>
            <w:r>
              <w:rPr>
                <w:rFonts w:hint="eastAsia"/>
                <w:color w:val="auto"/>
                <w:lang w:val="en-US" w:eastAsia="zh-CN"/>
              </w:rPr>
              <w:t>响应</w:t>
            </w:r>
            <w:r>
              <w:rPr>
                <w:rFonts w:hint="eastAsia"/>
                <w:color w:val="auto"/>
              </w:rPr>
              <w:t>人没有正受到责令停业，暂扣或吊销执照，或吊销资质证书。</w:t>
            </w:r>
          </w:p>
          <w:p w14:paraId="36C6134F">
            <w:pPr>
              <w:spacing w:line="276" w:lineRule="auto"/>
              <w:ind w:firstLine="210" w:firstLineChars="100"/>
              <w:jc w:val="left"/>
              <w:rPr>
                <w:color w:val="auto"/>
              </w:rPr>
            </w:pPr>
            <w:r>
              <w:rPr>
                <w:rFonts w:hint="eastAsia"/>
                <w:color w:val="auto"/>
              </w:rPr>
              <w:t>4.没有进入清算程序，或被宣告破产，或其他丧失履约能力的情形。</w:t>
            </w:r>
          </w:p>
          <w:p w14:paraId="67DFA027">
            <w:pPr>
              <w:spacing w:line="276" w:lineRule="auto"/>
              <w:ind w:firstLine="210" w:firstLineChars="100"/>
              <w:jc w:val="left"/>
              <w:rPr>
                <w:color w:val="auto"/>
              </w:rPr>
            </w:pPr>
            <w:r>
              <w:rPr>
                <w:rFonts w:hint="eastAsia"/>
                <w:color w:val="auto"/>
              </w:rPr>
              <w:t>5.没有在国家企业信用信息公示系统（www.gsxt.gov.cn）中被列入严重违法失信企业名单。</w:t>
            </w:r>
          </w:p>
          <w:p w14:paraId="090FEBF0">
            <w:pPr>
              <w:spacing w:line="276" w:lineRule="auto"/>
              <w:ind w:firstLine="210" w:firstLineChars="100"/>
              <w:jc w:val="left"/>
              <w:rPr>
                <w:color w:val="auto"/>
              </w:rPr>
            </w:pPr>
            <w:r>
              <w:rPr>
                <w:rFonts w:hint="eastAsia"/>
                <w:color w:val="auto"/>
              </w:rPr>
              <w:t>6.没有法律法规规定的其他情形。</w:t>
            </w:r>
          </w:p>
          <w:p w14:paraId="42DAFBA7">
            <w:pPr>
              <w:pStyle w:val="33"/>
              <w:rPr>
                <w:color w:val="auto"/>
              </w:rPr>
            </w:pPr>
          </w:p>
        </w:tc>
      </w:tr>
    </w:tbl>
    <w:p w14:paraId="4A60A601">
      <w:pPr>
        <w:keepNext/>
        <w:keepLines/>
        <w:spacing w:before="156" w:beforeLines="50" w:after="156" w:afterLines="50" w:line="360" w:lineRule="auto"/>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 总则</w:t>
      </w:r>
    </w:p>
    <w:p w14:paraId="78CD467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1.1 质量要求</w:t>
      </w:r>
    </w:p>
    <w:p w14:paraId="7615DFE1">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本合同包的质量要求：</w:t>
      </w:r>
      <w:r>
        <w:rPr>
          <w:rFonts w:hint="eastAsia" w:ascii="Times New Roman" w:hAnsi="Times New Roman" w:cs="Times New Roman"/>
          <w:color w:val="auto"/>
          <w:szCs w:val="21"/>
        </w:rPr>
        <w:t>见供应商须知前附表。</w:t>
      </w:r>
    </w:p>
    <w:p w14:paraId="403ABD0A">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 xml:space="preserve"> 供应商资格要求</w:t>
      </w:r>
    </w:p>
    <w:p w14:paraId="2872FDAE">
      <w:pPr>
        <w:spacing w:line="440" w:lineRule="exact"/>
        <w:ind w:firstLine="420"/>
        <w:rPr>
          <w:rFonts w:hint="eastAsia" w:ascii="Times New Roman" w:hAnsi="Times New Roman" w:cs="Times New Roman" w:eastAsiaTheme="minorEastAsia"/>
          <w:color w:val="auto"/>
          <w:szCs w:val="21"/>
          <w:lang w:val="en-US" w:eastAsia="zh-CN"/>
        </w:rPr>
      </w:pPr>
      <w:r>
        <w:rPr>
          <w:rFonts w:ascii="Times New Roman" w:hAnsi="Times New Roman" w:cs="Times New Roman"/>
          <w:color w:val="auto"/>
          <w:szCs w:val="21"/>
        </w:rPr>
        <w:t>1.</w:t>
      </w:r>
      <w:r>
        <w:rPr>
          <w:rFonts w:hint="eastAsia" w:ascii="Times New Roman" w:hAnsi="Times New Roman" w:cs="Times New Roman"/>
          <w:color w:val="auto"/>
          <w:szCs w:val="21"/>
        </w:rPr>
        <w:t>2</w:t>
      </w:r>
      <w:r>
        <w:rPr>
          <w:rFonts w:ascii="Times New Roman" w:hAnsi="Times New Roman" w:cs="Times New Roman"/>
          <w:color w:val="auto"/>
          <w:szCs w:val="21"/>
        </w:rPr>
        <w:t>.1</w:t>
      </w:r>
      <w:r>
        <w:rPr>
          <w:rFonts w:hint="eastAsia" w:ascii="Times New Roman" w:hAnsi="Times New Roman" w:cs="Times New Roman"/>
          <w:color w:val="auto"/>
          <w:szCs w:val="21"/>
        </w:rPr>
        <w:t xml:space="preserve"> </w:t>
      </w:r>
      <w:r>
        <w:rPr>
          <w:rFonts w:ascii="Times New Roman" w:hAnsi="Times New Roman" w:cs="Times New Roman"/>
          <w:color w:val="auto"/>
          <w:szCs w:val="21"/>
        </w:rPr>
        <w:t>供应商应具备承担本合同包</w:t>
      </w:r>
      <w:r>
        <w:rPr>
          <w:rFonts w:hint="eastAsia" w:ascii="Times New Roman" w:hAnsi="Times New Roman" w:cs="Times New Roman"/>
          <w:color w:val="auto"/>
          <w:szCs w:val="21"/>
        </w:rPr>
        <w:t>供货</w:t>
      </w:r>
      <w:r>
        <w:rPr>
          <w:rFonts w:ascii="Times New Roman" w:hAnsi="Times New Roman" w:cs="Times New Roman"/>
          <w:color w:val="auto"/>
          <w:szCs w:val="21"/>
        </w:rPr>
        <w:t xml:space="preserve">的资质条件、能力和信誉：见第一章 </w:t>
      </w:r>
      <w:r>
        <w:rPr>
          <w:rFonts w:hint="eastAsia" w:ascii="Times New Roman" w:hAnsi="Times New Roman" w:cs="Times New Roman"/>
          <w:color w:val="auto"/>
          <w:szCs w:val="21"/>
        </w:rPr>
        <w:t>采购公告要求</w:t>
      </w:r>
      <w:r>
        <w:rPr>
          <w:rFonts w:ascii="Times New Roman" w:hAnsi="Times New Roman" w:cs="Times New Roman"/>
          <w:color w:val="auto"/>
          <w:szCs w:val="21"/>
        </w:rPr>
        <w:t>。</w:t>
      </w:r>
      <w:r>
        <w:rPr>
          <w:rFonts w:hint="eastAsia" w:ascii="Times New Roman" w:hAnsi="Times New Roman" w:cs="Times New Roman"/>
          <w:color w:val="auto"/>
          <w:szCs w:val="21"/>
          <w:lang w:val="en-US" w:eastAsia="zh-CN"/>
        </w:rPr>
        <w:t xml:space="preserve"> </w:t>
      </w:r>
    </w:p>
    <w:p w14:paraId="5E7AB5E7">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2</w:t>
      </w:r>
      <w:r>
        <w:rPr>
          <w:rFonts w:ascii="Times New Roman" w:hAnsi="Times New Roman" w:cs="Times New Roman"/>
          <w:color w:val="auto"/>
          <w:szCs w:val="21"/>
        </w:rPr>
        <w:t>.</w:t>
      </w:r>
      <w:r>
        <w:rPr>
          <w:rFonts w:hint="eastAsia" w:ascii="Times New Roman" w:hAnsi="Times New Roman" w:cs="Times New Roman"/>
          <w:color w:val="auto"/>
          <w:szCs w:val="21"/>
        </w:rPr>
        <w:t>2</w:t>
      </w:r>
      <w:r>
        <w:rPr>
          <w:rFonts w:ascii="Times New Roman" w:hAnsi="Times New Roman" w:cs="Times New Roman"/>
          <w:color w:val="auto"/>
          <w:szCs w:val="21"/>
        </w:rPr>
        <w:t xml:space="preserve"> 其他</w:t>
      </w:r>
      <w:r>
        <w:rPr>
          <w:rFonts w:hint="eastAsia" w:ascii="Times New Roman" w:hAnsi="Times New Roman" w:cs="Times New Roman"/>
          <w:color w:val="auto"/>
          <w:szCs w:val="21"/>
        </w:rPr>
        <w:t>要求：见供应商须知前附表</w:t>
      </w:r>
      <w:r>
        <w:rPr>
          <w:rFonts w:ascii="Times New Roman" w:hAnsi="Times New Roman" w:cs="Times New Roman"/>
          <w:color w:val="auto"/>
          <w:szCs w:val="21"/>
        </w:rPr>
        <w:t>。</w:t>
      </w:r>
    </w:p>
    <w:p w14:paraId="7358639B">
      <w:pPr>
        <w:spacing w:line="440" w:lineRule="exact"/>
        <w:ind w:firstLine="420"/>
        <w:rPr>
          <w:rFonts w:ascii="Times New Roman" w:hAnsi="Times New Roman" w:cs="Times New Roman"/>
          <w:color w:val="auto"/>
          <w:szCs w:val="21"/>
        </w:rPr>
      </w:pPr>
      <w:r>
        <w:rPr>
          <w:rFonts w:hint="eastAsia" w:ascii="Times New Roman" w:hAnsi="Times New Roman" w:cs="Times New Roman"/>
          <w:color w:val="auto"/>
          <w:szCs w:val="21"/>
          <w:lang w:val="en-US" w:eastAsia="zh-CN"/>
        </w:rPr>
        <w:t>1.2.3 是否接受联合体响应</w:t>
      </w:r>
      <w:r>
        <w:rPr>
          <w:rFonts w:hint="eastAsia" w:ascii="Times New Roman" w:hAnsi="Times New Roman" w:cs="Times New Roman"/>
          <w:color w:val="auto"/>
          <w:szCs w:val="21"/>
        </w:rPr>
        <w:t>：见供应商须知前附表</w:t>
      </w:r>
      <w:r>
        <w:rPr>
          <w:rFonts w:ascii="Times New Roman" w:hAnsi="Times New Roman" w:cs="Times New Roman"/>
          <w:color w:val="auto"/>
          <w:szCs w:val="21"/>
        </w:rPr>
        <w:t>。</w:t>
      </w:r>
    </w:p>
    <w:p w14:paraId="24A159E1">
      <w:pPr>
        <w:spacing w:line="440" w:lineRule="exact"/>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3</w:t>
      </w:r>
      <w:r>
        <w:rPr>
          <w:rFonts w:ascii="Times New Roman" w:hAnsi="Times New Roman" w:eastAsia="黑体" w:cs="Times New Roman"/>
          <w:bCs/>
          <w:color w:val="auto"/>
          <w:sz w:val="24"/>
          <w:szCs w:val="32"/>
        </w:rPr>
        <w:t xml:space="preserve"> 费用承担</w:t>
      </w:r>
    </w:p>
    <w:p w14:paraId="5D01C2FC">
      <w:pPr>
        <w:spacing w:line="440" w:lineRule="exact"/>
        <w:ind w:firstLine="420"/>
        <w:rPr>
          <w:rFonts w:ascii="Times New Roman" w:hAnsi="Times New Roman" w:cs="Times New Roman"/>
          <w:color w:val="auto"/>
          <w:szCs w:val="21"/>
        </w:rPr>
      </w:pPr>
      <w:r>
        <w:rPr>
          <w:rFonts w:hint="eastAsia" w:ascii="Times New Roman" w:hAnsi="Times New Roman" w:cs="Times New Roman"/>
          <w:color w:val="auto"/>
          <w:szCs w:val="21"/>
        </w:rPr>
        <w:t>供应商准备和参加询比活动发生的费用自理。</w:t>
      </w:r>
    </w:p>
    <w:p w14:paraId="27A22AD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4</w:t>
      </w:r>
      <w:r>
        <w:rPr>
          <w:rFonts w:ascii="Times New Roman" w:hAnsi="Times New Roman" w:eastAsia="黑体" w:cs="Times New Roman"/>
          <w:bCs/>
          <w:color w:val="auto"/>
          <w:sz w:val="24"/>
          <w:szCs w:val="32"/>
        </w:rPr>
        <w:t xml:space="preserve"> 保密</w:t>
      </w:r>
    </w:p>
    <w:p w14:paraId="1353610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参与询比活动的各方应对询比文件和响应文件中的商业和技术等秘密保密，否则应承担相应的法律责任。</w:t>
      </w:r>
    </w:p>
    <w:p w14:paraId="00BD8C2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5</w:t>
      </w:r>
      <w:r>
        <w:rPr>
          <w:rFonts w:ascii="Times New Roman" w:hAnsi="Times New Roman" w:eastAsia="黑体" w:cs="Times New Roman"/>
          <w:bCs/>
          <w:color w:val="auto"/>
          <w:sz w:val="24"/>
          <w:szCs w:val="32"/>
        </w:rPr>
        <w:t xml:space="preserve"> 计量单位</w:t>
      </w:r>
    </w:p>
    <w:p w14:paraId="02B77D42">
      <w:pPr>
        <w:spacing w:line="440" w:lineRule="exact"/>
        <w:ind w:firstLine="420"/>
        <w:rPr>
          <w:rFonts w:ascii="Times New Roman" w:hAnsi="Times New Roman" w:cs="Times New Roman"/>
          <w:color w:val="auto"/>
        </w:rPr>
      </w:pPr>
      <w:r>
        <w:rPr>
          <w:rFonts w:ascii="Times New Roman" w:hAnsi="Times New Roman" w:cs="Times New Roman"/>
          <w:color w:val="auto"/>
        </w:rPr>
        <w:t>所有计量均采用中华人民共和国法定计量单位。</w:t>
      </w:r>
    </w:p>
    <w:p w14:paraId="544CF776">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 xml:space="preserve"> 踏勘现场</w:t>
      </w:r>
    </w:p>
    <w:p w14:paraId="27BE4ED5">
      <w:pPr>
        <w:spacing w:line="440" w:lineRule="exact"/>
        <w:ind w:firstLine="420"/>
        <w:rPr>
          <w:rFonts w:ascii="Times New Roman" w:hAnsi="Times New Roman" w:cs="Times New Roman"/>
          <w:color w:val="auto"/>
        </w:rPr>
      </w:pPr>
      <w:r>
        <w:rPr>
          <w:rFonts w:ascii="Times New Roman" w:hAnsi="Times New Roman" w:cs="Times New Roman"/>
          <w:color w:val="auto"/>
        </w:rPr>
        <w:t>供应商</w:t>
      </w:r>
      <w:r>
        <w:rPr>
          <w:rFonts w:hint="eastAsia" w:ascii="Times New Roman" w:hAnsi="Times New Roman" w:cs="Times New Roman"/>
          <w:color w:val="auto"/>
        </w:rPr>
        <w:t>自行</w:t>
      </w:r>
      <w:r>
        <w:rPr>
          <w:rFonts w:ascii="Times New Roman" w:hAnsi="Times New Roman" w:cs="Times New Roman"/>
          <w:color w:val="auto"/>
        </w:rPr>
        <w:t>踏勘现场</w:t>
      </w:r>
      <w:r>
        <w:rPr>
          <w:rFonts w:hint="eastAsia" w:ascii="Times New Roman" w:hAnsi="Times New Roman" w:cs="Times New Roman"/>
          <w:color w:val="auto"/>
        </w:rPr>
        <w:t>且</w:t>
      </w:r>
      <w:r>
        <w:rPr>
          <w:rFonts w:ascii="Times New Roman" w:hAnsi="Times New Roman" w:cs="Times New Roman"/>
          <w:color w:val="auto"/>
        </w:rPr>
        <w:t>费用自理。</w:t>
      </w:r>
    </w:p>
    <w:p w14:paraId="4AE30E4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7</w:t>
      </w:r>
      <w:r>
        <w:rPr>
          <w:rFonts w:ascii="Times New Roman" w:hAnsi="Times New Roman" w:eastAsia="黑体" w:cs="Times New Roman"/>
          <w:bCs/>
          <w:color w:val="auto"/>
          <w:sz w:val="24"/>
          <w:szCs w:val="32"/>
        </w:rPr>
        <w:t xml:space="preserve"> 分包</w:t>
      </w:r>
    </w:p>
    <w:p w14:paraId="03A6BB65">
      <w:pPr>
        <w:spacing w:line="440" w:lineRule="exact"/>
        <w:ind w:firstLine="420"/>
        <w:rPr>
          <w:rFonts w:ascii="Times New Roman" w:hAnsi="Times New Roman" w:cs="Times New Roman"/>
          <w:color w:val="auto"/>
        </w:rPr>
      </w:pPr>
      <w:r>
        <w:rPr>
          <w:rFonts w:hint="eastAsia" w:ascii="Times New Roman" w:hAnsi="Times New Roman" w:cs="Times New Roman"/>
          <w:color w:val="auto"/>
        </w:rPr>
        <w:t>不允许分包。</w:t>
      </w:r>
    </w:p>
    <w:p w14:paraId="2E6FB4C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8</w:t>
      </w:r>
      <w:r>
        <w:rPr>
          <w:rFonts w:ascii="Times New Roman" w:hAnsi="Times New Roman" w:eastAsia="黑体" w:cs="Times New Roman"/>
          <w:bCs/>
          <w:color w:val="auto"/>
          <w:sz w:val="24"/>
          <w:szCs w:val="32"/>
        </w:rPr>
        <w:t xml:space="preserve"> 偏</w:t>
      </w:r>
      <w:r>
        <w:rPr>
          <w:rFonts w:hint="eastAsia" w:ascii="Times New Roman" w:hAnsi="Times New Roman" w:eastAsia="黑体" w:cs="Times New Roman"/>
          <w:bCs/>
          <w:color w:val="auto"/>
          <w:sz w:val="24"/>
          <w:szCs w:val="32"/>
        </w:rPr>
        <w:t>差</w:t>
      </w:r>
    </w:p>
    <w:p w14:paraId="0E76509E">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偏差包括重大偏差和细微偏差。</w:t>
      </w:r>
    </w:p>
    <w:p w14:paraId="6BFF8494">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.2 响应文件存在“评审办法”中所列任一否决</w:t>
      </w:r>
      <w:r>
        <w:rPr>
          <w:rFonts w:hint="eastAsia" w:ascii="Times New Roman" w:hAnsi="Times New Roman" w:cs="Times New Roman"/>
          <w:color w:val="auto"/>
        </w:rPr>
        <w:t>响应文件</w:t>
      </w:r>
      <w:r>
        <w:rPr>
          <w:rFonts w:ascii="Times New Roman" w:hAnsi="Times New Roman" w:cs="Times New Roman"/>
          <w:color w:val="auto"/>
        </w:rPr>
        <w:t>情形的，均属于存在重大偏差</w:t>
      </w:r>
      <w:r>
        <w:rPr>
          <w:rFonts w:hint="eastAsia" w:ascii="Times New Roman" w:hAnsi="Times New Roman" w:cs="Times New Roman"/>
          <w:color w:val="auto"/>
        </w:rPr>
        <w:t>，响应文件将被否决</w:t>
      </w:r>
      <w:r>
        <w:rPr>
          <w:rFonts w:ascii="Times New Roman" w:hAnsi="Times New Roman" w:cs="Times New Roman"/>
          <w:color w:val="auto"/>
        </w:rPr>
        <w:t>。</w:t>
      </w:r>
    </w:p>
    <w:p w14:paraId="448E1109">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询比文件</w:t>
      </w:r>
    </w:p>
    <w:p w14:paraId="1930561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询比文件的组成</w:t>
      </w:r>
    </w:p>
    <w:p w14:paraId="6E62B52C">
      <w:pPr>
        <w:spacing w:line="440" w:lineRule="exact"/>
        <w:ind w:firstLine="420"/>
        <w:rPr>
          <w:rFonts w:ascii="Times New Roman" w:hAnsi="Times New Roman" w:cs="Times New Roman"/>
          <w:color w:val="auto"/>
        </w:rPr>
      </w:pPr>
      <w:r>
        <w:rPr>
          <w:rFonts w:ascii="Times New Roman" w:hAnsi="Times New Roman" w:cs="Times New Roman"/>
          <w:color w:val="auto"/>
        </w:rPr>
        <w:t>本询比文件包括：</w:t>
      </w:r>
    </w:p>
    <w:p w14:paraId="5BCD41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6C57010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60D02DF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2D80E381">
      <w:pPr>
        <w:spacing w:line="440" w:lineRule="exact"/>
        <w:ind w:firstLine="420"/>
        <w:rPr>
          <w:rFonts w:ascii="Times New Roman" w:hAnsi="Times New Roman" w:eastAsia="宋体" w:cs="Times New Roman"/>
          <w:color w:val="auto"/>
          <w:highlight w:val="none"/>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rPr>
        <w:t>；</w:t>
      </w:r>
    </w:p>
    <w:p w14:paraId="44A4A63A">
      <w:pPr>
        <w:spacing w:line="440" w:lineRule="exact"/>
        <w:ind w:firstLine="420"/>
        <w:rPr>
          <w:rFonts w:ascii="Times New Roman" w:hAnsi="Times New Roman" w:cs="Times New Roman"/>
          <w:color w:val="auto"/>
          <w:highlight w:val="none"/>
        </w:rPr>
      </w:pPr>
      <w:r>
        <w:rPr>
          <w:rFonts w:hint="eastAsia" w:ascii="Times New Roman" w:hAnsi="Times New Roman" w:eastAsia="宋体" w:cs="Times New Roman"/>
          <w:color w:val="auto"/>
          <w:highlight w:val="none"/>
        </w:rPr>
        <w:t>（5）供货要求</w:t>
      </w:r>
      <w:r>
        <w:rPr>
          <w:rFonts w:hint="eastAsia" w:ascii="Times New Roman" w:hAnsi="Times New Roman" w:eastAsia="宋体" w:cs="Times New Roman"/>
          <w:color w:val="auto"/>
          <w:highlight w:val="none"/>
          <w:lang w:val="en-US" w:eastAsia="zh-CN"/>
        </w:rPr>
        <w:t>及清单</w:t>
      </w:r>
      <w:r>
        <w:rPr>
          <w:rFonts w:ascii="Times New Roman" w:hAnsi="Times New Roman" w:cs="Times New Roman"/>
          <w:color w:val="auto"/>
          <w:highlight w:val="none"/>
        </w:rPr>
        <w:t>；</w:t>
      </w:r>
    </w:p>
    <w:p w14:paraId="72A970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694B4988">
      <w:pPr>
        <w:spacing w:line="440" w:lineRule="exact"/>
        <w:ind w:firstLine="420"/>
        <w:rPr>
          <w:rFonts w:ascii="Times New Roman" w:hAnsi="Times New Roman" w:cs="Times New Roman"/>
          <w:color w:val="auto"/>
        </w:rPr>
      </w:pPr>
      <w:r>
        <w:rPr>
          <w:rFonts w:ascii="Times New Roman" w:hAnsi="Times New Roman" w:cs="Times New Roman"/>
          <w:color w:val="auto"/>
        </w:rPr>
        <w:t>根据本章对询比文件所作的澄清、修改，构成询比文件的组成部分。</w:t>
      </w:r>
    </w:p>
    <w:p w14:paraId="0850E650">
      <w:pPr>
        <w:spacing w:line="440" w:lineRule="exact"/>
        <w:ind w:firstLine="420"/>
        <w:rPr>
          <w:rFonts w:ascii="Times New Roman" w:hAnsi="Times New Roman" w:cs="Times New Roman"/>
          <w:color w:val="auto"/>
        </w:rPr>
      </w:pPr>
      <w:r>
        <w:rPr>
          <w:rFonts w:ascii="Times New Roman" w:hAnsi="Times New Roman" w:cs="Times New Roman"/>
          <w:color w:val="auto"/>
        </w:rPr>
        <w:t>当询比文件、询比文件的澄清或修改等在同一内容的表述上不一致时，以最后发出的书面文件为准。</w:t>
      </w:r>
    </w:p>
    <w:p w14:paraId="22A040D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询比文件的澄清</w:t>
      </w:r>
      <w:r>
        <w:rPr>
          <w:rFonts w:hint="eastAsia" w:ascii="Times New Roman" w:hAnsi="Times New Roman" w:eastAsia="黑体" w:cs="Times New Roman"/>
          <w:bCs/>
          <w:color w:val="auto"/>
          <w:sz w:val="24"/>
          <w:szCs w:val="32"/>
        </w:rPr>
        <w:t>与修改</w:t>
      </w:r>
    </w:p>
    <w:p w14:paraId="78E521CB">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2.2.1</w:t>
      </w:r>
      <w:r>
        <w:rPr>
          <w:rFonts w:hint="eastAsia" w:ascii="Times New Roman" w:hAnsi="Times New Roman" w:cs="Times New Roman"/>
          <w:color w:val="auto"/>
        </w:rPr>
        <w:t xml:space="preserve"> </w:t>
      </w:r>
      <w:r>
        <w:rPr>
          <w:rFonts w:ascii="Times New Roman" w:hAnsi="Times New Roman" w:cs="Times New Roman"/>
          <w:color w:val="auto"/>
        </w:rPr>
        <w:t>供应商如有疑问，应在递交</w:t>
      </w:r>
      <w:r>
        <w:rPr>
          <w:rFonts w:hint="eastAsia" w:ascii="Times New Roman" w:hAnsi="Times New Roman" w:cs="Times New Roman"/>
          <w:color w:val="auto"/>
        </w:rPr>
        <w:t>响应</w:t>
      </w:r>
      <w:r>
        <w:rPr>
          <w:rFonts w:ascii="Times New Roman" w:hAnsi="Times New Roman" w:cs="Times New Roman"/>
          <w:color w:val="auto"/>
        </w:rPr>
        <w:t>文件的截止时间</w:t>
      </w:r>
      <w:r>
        <w:rPr>
          <w:rFonts w:hint="eastAsia" w:ascii="Times New Roman" w:hAnsi="Times New Roman" w:cs="Times New Roman"/>
          <w:color w:val="auto"/>
        </w:rPr>
        <w:t>前3日</w:t>
      </w:r>
      <w:r>
        <w:rPr>
          <w:rFonts w:ascii="Times New Roman" w:hAnsi="Times New Roman" w:cs="Times New Roman"/>
          <w:color w:val="auto"/>
        </w:rPr>
        <w:t>前</w:t>
      </w:r>
      <w:r>
        <w:rPr>
          <w:rFonts w:hint="eastAsia" w:ascii="Times New Roman" w:hAnsi="Times New Roman" w:cs="Times New Roman"/>
          <w:color w:val="auto"/>
        </w:rPr>
        <w:t>通过“</w:t>
      </w:r>
      <w:r>
        <w:rPr>
          <w:rFonts w:hint="eastAsia" w:ascii="Times New Roman" w:hAnsi="Times New Roman" w:cs="Times New Roman"/>
          <w:color w:val="auto"/>
          <w:lang w:eastAsia="zh-CN"/>
        </w:rPr>
        <w:t>安徽交控建设工程集团有限公司</w:t>
      </w:r>
      <w:r>
        <w:rPr>
          <w:rFonts w:hint="eastAsia" w:ascii="Times New Roman" w:hAnsi="Times New Roman" w:cs="Times New Roman"/>
          <w:color w:val="auto"/>
        </w:rPr>
        <w:t>”官网平台联系采购人</w:t>
      </w:r>
      <w:r>
        <w:rPr>
          <w:rFonts w:ascii="Times New Roman" w:hAnsi="Times New Roman" w:cs="Times New Roman"/>
          <w:color w:val="auto"/>
        </w:rPr>
        <w:t>对询比文件予以澄清</w:t>
      </w:r>
      <w:r>
        <w:rPr>
          <w:rFonts w:hint="eastAsia" w:ascii="Times New Roman" w:hAnsi="Times New Roman" w:cs="Times New Roman"/>
          <w:color w:val="auto"/>
        </w:rPr>
        <w:t>或修改</w:t>
      </w:r>
      <w:r>
        <w:rPr>
          <w:rFonts w:ascii="Times New Roman" w:hAnsi="Times New Roman" w:cs="Times New Roman"/>
          <w:color w:val="auto"/>
        </w:rPr>
        <w:t>。</w:t>
      </w:r>
    </w:p>
    <w:p w14:paraId="094E5BD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1E25FA95">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响应文件</w:t>
      </w:r>
    </w:p>
    <w:p w14:paraId="320AF7C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3.1响应文件的组成</w:t>
      </w:r>
    </w:p>
    <w:p w14:paraId="69D14CDC">
      <w:pPr>
        <w:spacing w:line="440" w:lineRule="exact"/>
        <w:ind w:firstLine="420"/>
        <w:rPr>
          <w:rFonts w:ascii="Times New Roman" w:hAnsi="Times New Roman" w:cs="Times New Roman"/>
          <w:color w:val="auto"/>
        </w:rPr>
      </w:pPr>
      <w:r>
        <w:rPr>
          <w:rFonts w:ascii="Times New Roman" w:hAnsi="Times New Roman" w:cs="Times New Roman"/>
          <w:color w:val="auto"/>
        </w:rPr>
        <w:t>响应文件应包括下列内容：</w:t>
      </w:r>
    </w:p>
    <w:p w14:paraId="2B430954">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1.报价函</w:t>
      </w:r>
    </w:p>
    <w:p w14:paraId="0F2DB97D">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eastAsia" w:ascii="宋体" w:hAnsi="宋体" w:eastAsia="宋体" w:cs="宋体"/>
          <w:color w:val="auto"/>
          <w:highlight w:val="none"/>
        </w:rPr>
        <w:t>法定代表人身份证明及授权委托书</w:t>
      </w:r>
    </w:p>
    <w:p w14:paraId="49294D1E">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3.已标价的报价清单</w:t>
      </w:r>
    </w:p>
    <w:p w14:paraId="605BED00">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4.供应商基本情况</w:t>
      </w:r>
    </w:p>
    <w:p w14:paraId="40904929">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5.近年类似业绩情况</w:t>
      </w:r>
    </w:p>
    <w:p w14:paraId="288E9D32">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6.信誉情况</w:t>
      </w:r>
    </w:p>
    <w:p w14:paraId="65A05C34">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7.其它材料</w:t>
      </w:r>
    </w:p>
    <w:p w14:paraId="40AAAC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6EAB5B11">
      <w:pPr>
        <w:spacing w:line="440" w:lineRule="exact"/>
        <w:ind w:firstLine="420"/>
        <w:rPr>
          <w:rFonts w:ascii="Times New Roman" w:hAnsi="Times New Roman" w:cs="Times New Roman"/>
          <w:color w:val="auto"/>
        </w:rPr>
      </w:pPr>
      <w:r>
        <w:rPr>
          <w:rFonts w:ascii="Times New Roman" w:hAnsi="Times New Roman" w:cs="Times New Roman"/>
          <w:color w:val="auto"/>
        </w:rPr>
        <w:t>3.2.1 报价应包括国家规定的增值税税金。</w:t>
      </w:r>
    </w:p>
    <w:p w14:paraId="3ED188F2">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3.2.2 </w:t>
      </w:r>
      <w:r>
        <w:rPr>
          <w:rFonts w:ascii="Times New Roman" w:hAnsi="Times New Roman" w:cs="Times New Roman"/>
          <w:color w:val="auto"/>
        </w:rPr>
        <w:t>供应商应按第六章“响应文件格式”的要求在报价函中进行报价并填写工程量清单相应表格</w:t>
      </w:r>
      <w:r>
        <w:rPr>
          <w:rFonts w:hint="eastAsia" w:ascii="Times New Roman" w:hAnsi="Times New Roman" w:cs="Times New Roman"/>
          <w:color w:val="auto"/>
        </w:rPr>
        <w:t>。</w:t>
      </w:r>
    </w:p>
    <w:p w14:paraId="077F89CE">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3</w:t>
      </w:r>
      <w:r>
        <w:rPr>
          <w:rFonts w:ascii="Times New Roman" w:hAnsi="Times New Roman" w:cs="Times New Roman"/>
          <w:color w:val="auto"/>
        </w:rPr>
        <w:t xml:space="preserve"> 采购人设有最高限价的，供应商的报价不得超过最高限价，</w:t>
      </w:r>
      <w:r>
        <w:rPr>
          <w:rFonts w:hint="eastAsia" w:ascii="Times New Roman" w:hAnsi="Times New Roman" w:cs="Times New Roman"/>
          <w:color w:val="auto"/>
        </w:rPr>
        <w:t>否则其报价将被否决，</w:t>
      </w:r>
      <w:r>
        <w:rPr>
          <w:rFonts w:ascii="Times New Roman" w:hAnsi="Times New Roman" w:cs="Times New Roman"/>
          <w:color w:val="auto"/>
        </w:rPr>
        <w:t>最高限价</w:t>
      </w:r>
      <w:r>
        <w:rPr>
          <w:rFonts w:hint="eastAsia" w:ascii="Times New Roman" w:hAnsi="Times New Roman" w:cs="Times New Roman"/>
          <w:color w:val="auto"/>
        </w:rPr>
        <w:t>见第一章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p>
    <w:p w14:paraId="42D647CD">
      <w:pPr>
        <w:spacing w:line="440" w:lineRule="exact"/>
        <w:ind w:firstLine="420"/>
        <w:rPr>
          <w:rFonts w:ascii="Times New Roman" w:hAnsi="Times New Roman" w:cs="Times New Roman"/>
          <w:color w:val="auto"/>
        </w:rPr>
      </w:pPr>
      <w:r>
        <w:rPr>
          <w:rFonts w:hint="eastAsia" w:ascii="Times New Roman" w:hAnsi="Times New Roman" w:cs="Times New Roman"/>
          <w:color w:val="auto"/>
        </w:rPr>
        <w:t>3.2.4</w:t>
      </w:r>
      <w:r>
        <w:rPr>
          <w:rFonts w:ascii="Times New Roman" w:hAnsi="Times New Roman" w:cs="Times New Roman"/>
          <w:color w:val="auto"/>
        </w:rPr>
        <w:t>本项目的报价方式</w:t>
      </w:r>
      <w:r>
        <w:rPr>
          <w:rFonts w:hint="eastAsia" w:ascii="Times New Roman" w:hAnsi="Times New Roman" w:cs="Times New Roman"/>
          <w:color w:val="auto"/>
        </w:rPr>
        <w:t>为</w:t>
      </w:r>
      <w:r>
        <w:rPr>
          <w:rFonts w:hint="eastAsia" w:ascii="Times New Roman" w:hAnsi="Times New Roman" w:cs="Times New Roman"/>
          <w:color w:val="auto"/>
          <w:u w:val="single"/>
        </w:rPr>
        <w:t xml:space="preserve">  见供应商须知前附表  </w:t>
      </w:r>
      <w:r>
        <w:rPr>
          <w:rFonts w:ascii="Times New Roman" w:hAnsi="Times New Roman" w:cs="Times New Roman"/>
          <w:color w:val="auto"/>
        </w:rPr>
        <w:t>。</w:t>
      </w:r>
    </w:p>
    <w:p w14:paraId="318D6482">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5</w:t>
      </w:r>
      <w:r>
        <w:rPr>
          <w:rFonts w:ascii="Times New Roman" w:hAnsi="Times New Roman" w:cs="Times New Roman"/>
          <w:color w:val="auto"/>
        </w:rPr>
        <w:t xml:space="preserve"> 报价的其他要求</w:t>
      </w:r>
      <w:r>
        <w:rPr>
          <w:rFonts w:hint="eastAsia" w:ascii="Times New Roman" w:hAnsi="Times New Roman" w:cs="Times New Roman"/>
          <w:color w:val="auto"/>
        </w:rPr>
        <w:t>：</w:t>
      </w:r>
      <w:r>
        <w:rPr>
          <w:rFonts w:hint="eastAsia" w:ascii="Times New Roman" w:hAnsi="Times New Roman" w:cs="Times New Roman"/>
          <w:color w:val="auto"/>
          <w:szCs w:val="21"/>
        </w:rPr>
        <w:t>见供应商须知前附表</w:t>
      </w:r>
      <w:r>
        <w:rPr>
          <w:rFonts w:ascii="Times New Roman" w:hAnsi="Times New Roman" w:cs="Times New Roman"/>
          <w:color w:val="auto"/>
        </w:rPr>
        <w:t>。</w:t>
      </w:r>
    </w:p>
    <w:p w14:paraId="18558B5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3.3响应有效期</w:t>
      </w:r>
    </w:p>
    <w:p w14:paraId="24CE9631">
      <w:pPr>
        <w:spacing w:line="440" w:lineRule="exact"/>
        <w:ind w:firstLine="420"/>
        <w:rPr>
          <w:rFonts w:ascii="Times New Roman" w:hAnsi="Times New Roman" w:cs="Times New Roman"/>
          <w:color w:val="auto"/>
        </w:rPr>
      </w:pPr>
      <w:r>
        <w:rPr>
          <w:rFonts w:ascii="Times New Roman" w:hAnsi="Times New Roman" w:cs="Times New Roman"/>
          <w:color w:val="auto"/>
        </w:rPr>
        <w:t>3.3.1 响应有效期为</w:t>
      </w:r>
      <w:r>
        <w:rPr>
          <w:rFonts w:ascii="Times New Roman" w:hAnsi="Times New Roman" w:eastAsia="宋体" w:cs="Times New Roman"/>
          <w:color w:val="auto"/>
          <w:szCs w:val="21"/>
        </w:rPr>
        <w:t>自供应商递交响应文件截止之日起计算</w:t>
      </w: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0</w:t>
      </w:r>
      <w:r>
        <w:rPr>
          <w:rFonts w:ascii="Times New Roman" w:hAnsi="Times New Roman" w:cs="Times New Roman"/>
          <w:color w:val="auto"/>
        </w:rPr>
        <w:t>日。</w:t>
      </w:r>
    </w:p>
    <w:p w14:paraId="2464A1A1">
      <w:pPr>
        <w:spacing w:line="440" w:lineRule="exact"/>
        <w:ind w:firstLine="420"/>
        <w:rPr>
          <w:rFonts w:ascii="Times New Roman" w:hAnsi="Times New Roman" w:cs="Times New Roman"/>
          <w:color w:val="auto"/>
        </w:rPr>
      </w:pPr>
      <w:r>
        <w:rPr>
          <w:rFonts w:ascii="Times New Roman" w:hAnsi="Times New Roman" w:cs="Times New Roman"/>
          <w:color w:val="auto"/>
        </w:rPr>
        <w:t>3.3.2 在响应有效期内，供应商撤销响应文件的，应承担询比文件和法律规定的责任。</w:t>
      </w:r>
    </w:p>
    <w:p w14:paraId="4399706F">
      <w:pPr>
        <w:keepNext/>
        <w:keepLines/>
        <w:spacing w:before="120" w:after="120" w:line="415" w:lineRule="auto"/>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3.4响应保证金</w:t>
      </w:r>
    </w:p>
    <w:p w14:paraId="707B2F15">
      <w:pPr>
        <w:spacing w:line="440" w:lineRule="exact"/>
        <w:ind w:firstLine="420"/>
        <w:rPr>
          <w:rFonts w:ascii="Times New Roman" w:hAnsi="Times New Roman"/>
          <w:color w:val="auto"/>
        </w:rPr>
      </w:pPr>
      <w:r>
        <w:rPr>
          <w:rFonts w:ascii="Times New Roman" w:hAnsi="Times New Roman" w:cs="Times New Roman"/>
          <w:color w:val="auto"/>
        </w:rPr>
        <w:t>3.4.1 供应商在递交响应文件的同时，应按</w:t>
      </w:r>
      <w:r>
        <w:rPr>
          <w:rFonts w:hint="eastAsia" w:ascii="Times New Roman" w:hAnsi="Times New Roman" w:cs="Times New Roman"/>
          <w:color w:val="auto"/>
        </w:rPr>
        <w:t>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rPr>
        <w:t>的要求</w:t>
      </w:r>
      <w:r>
        <w:rPr>
          <w:rFonts w:ascii="Times New Roman" w:hAnsi="Times New Roman" w:cs="Times New Roman"/>
          <w:color w:val="auto"/>
        </w:rPr>
        <w:t>递交响应保证金，并作为其响应文件的组成部分。</w:t>
      </w:r>
    </w:p>
    <w:p w14:paraId="40CA33E3">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无论采取何种形</w:t>
      </w:r>
      <w:r>
        <w:rPr>
          <w:rFonts w:ascii="Times New Roman" w:hAnsi="Times New Roman" w:cs="Times New Roman"/>
          <w:color w:val="auto"/>
          <w:highlight w:val="none"/>
        </w:rPr>
        <w:t>式的响应保证金，响应保证金有效期均应与响应有效期一致。</w:t>
      </w:r>
    </w:p>
    <w:p w14:paraId="28355DAA">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3.4.2 供应商不按本章第3.4.1项</w:t>
      </w:r>
      <w:r>
        <w:rPr>
          <w:rFonts w:ascii="Times New Roman" w:hAnsi="Times New Roman" w:cs="Times New Roman"/>
          <w:color w:val="auto"/>
        </w:rPr>
        <w:t>要求提交响应保证金的，</w:t>
      </w:r>
      <w:r>
        <w:rPr>
          <w:rFonts w:hint="eastAsia" w:ascii="Times New Roman" w:hAnsi="Times New Roman" w:cs="Times New Roman"/>
          <w:color w:val="auto"/>
        </w:rPr>
        <w:t>评审小组</w:t>
      </w:r>
      <w:r>
        <w:rPr>
          <w:rFonts w:ascii="Times New Roman" w:hAnsi="Times New Roman" w:cs="Times New Roman"/>
          <w:color w:val="auto"/>
        </w:rPr>
        <w:t>将否决其</w:t>
      </w:r>
      <w:r>
        <w:rPr>
          <w:rFonts w:hint="eastAsia" w:ascii="Times New Roman" w:hAnsi="Times New Roman" w:cs="Times New Roman"/>
          <w:color w:val="auto"/>
        </w:rPr>
        <w:t>响应文件</w:t>
      </w:r>
      <w:r>
        <w:rPr>
          <w:rFonts w:ascii="Times New Roman" w:hAnsi="Times New Roman" w:cs="Times New Roman"/>
          <w:color w:val="auto"/>
        </w:rPr>
        <w:t>。</w:t>
      </w:r>
    </w:p>
    <w:p w14:paraId="22570033">
      <w:pPr>
        <w:spacing w:line="440" w:lineRule="exact"/>
        <w:ind w:firstLine="420"/>
        <w:rPr>
          <w:rFonts w:ascii="Times New Roman" w:hAnsi="Times New Roman" w:cs="Times New Roman"/>
          <w:color w:val="auto"/>
          <w:highlight w:val="yellow"/>
        </w:rPr>
      </w:pPr>
      <w:r>
        <w:rPr>
          <w:rFonts w:ascii="Times New Roman" w:hAnsi="Times New Roman" w:cs="Times New Roman"/>
          <w:color w:val="auto"/>
          <w:highlight w:val="yellow"/>
        </w:rPr>
        <w:t>3.4.3 采购人在与成交人签订合同后</w:t>
      </w:r>
      <w:r>
        <w:rPr>
          <w:rFonts w:hint="eastAsia" w:ascii="Times New Roman" w:hAnsi="Times New Roman" w:cs="Times New Roman"/>
          <w:color w:val="auto"/>
          <w:highlight w:val="yellow"/>
          <w:lang w:val="en-US" w:eastAsia="zh-CN"/>
        </w:rPr>
        <w:t>10</w:t>
      </w:r>
      <w:r>
        <w:rPr>
          <w:rFonts w:ascii="Times New Roman" w:hAnsi="Times New Roman" w:cs="Times New Roman"/>
          <w:color w:val="auto"/>
          <w:highlight w:val="yellow"/>
        </w:rPr>
        <w:t>日内办理退还响应保证金手续。</w:t>
      </w:r>
    </w:p>
    <w:p w14:paraId="7EAF7C44">
      <w:pPr>
        <w:spacing w:line="440" w:lineRule="exact"/>
        <w:ind w:firstLine="420"/>
        <w:rPr>
          <w:rFonts w:ascii="Times New Roman" w:hAnsi="Times New Roman" w:cs="Times New Roman"/>
          <w:color w:val="auto"/>
        </w:rPr>
      </w:pPr>
      <w:r>
        <w:rPr>
          <w:rFonts w:ascii="Times New Roman" w:hAnsi="Times New Roman" w:cs="Times New Roman"/>
          <w:color w:val="auto"/>
        </w:rPr>
        <w:t>3.4.4 有下列情形之一的，响应保证金将不予退还：</w:t>
      </w:r>
    </w:p>
    <w:p w14:paraId="2D3F3171">
      <w:pPr>
        <w:spacing w:line="440" w:lineRule="exact"/>
        <w:ind w:firstLine="420"/>
        <w:rPr>
          <w:rFonts w:ascii="Times New Roman" w:hAnsi="Times New Roman" w:cs="Times New Roman"/>
          <w:color w:val="auto"/>
        </w:rPr>
      </w:pPr>
      <w:r>
        <w:rPr>
          <w:rFonts w:ascii="Times New Roman" w:hAnsi="Times New Roman" w:cs="Times New Roman"/>
          <w:color w:val="auto"/>
        </w:rPr>
        <w:t>（1）供应商在规定的响应有效期内撤销其响应文件；</w:t>
      </w:r>
    </w:p>
    <w:p w14:paraId="6C5895E3">
      <w:pPr>
        <w:spacing w:line="440" w:lineRule="exact"/>
        <w:ind w:firstLine="420"/>
        <w:rPr>
          <w:rFonts w:ascii="Times New Roman" w:hAnsi="Times New Roman" w:cs="Times New Roman"/>
          <w:color w:val="auto"/>
        </w:rPr>
      </w:pPr>
      <w:r>
        <w:rPr>
          <w:rFonts w:ascii="Times New Roman" w:hAnsi="Times New Roman" w:cs="Times New Roman"/>
          <w:color w:val="auto"/>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D7B1D81">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szCs w:val="21"/>
        </w:rPr>
        <w:t>供应商须知前附表规定的</w:t>
      </w:r>
      <w:r>
        <w:rPr>
          <w:rFonts w:ascii="Times New Roman" w:hAnsi="Times New Roman" w:cs="Times New Roman"/>
          <w:color w:val="auto"/>
          <w:szCs w:val="21"/>
        </w:rPr>
        <w:t>其他情形</w:t>
      </w:r>
      <w:r>
        <w:rPr>
          <w:rFonts w:ascii="Times New Roman" w:hAnsi="Times New Roman" w:cs="Times New Roman"/>
          <w:color w:val="auto"/>
        </w:rPr>
        <w:t>。</w:t>
      </w:r>
    </w:p>
    <w:p w14:paraId="1727910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3.5资格审查资料</w:t>
      </w:r>
    </w:p>
    <w:p w14:paraId="63F408CB">
      <w:pPr>
        <w:spacing w:line="440" w:lineRule="exact"/>
        <w:ind w:firstLine="420"/>
        <w:rPr>
          <w:rFonts w:ascii="Times New Roman" w:hAnsi="Times New Roman" w:cs="Times New Roman"/>
          <w:color w:val="auto"/>
        </w:rPr>
      </w:pPr>
      <w:r>
        <w:rPr>
          <w:rFonts w:ascii="Times New Roman" w:hAnsi="Times New Roman" w:cs="Times New Roman"/>
          <w:color w:val="auto"/>
        </w:rPr>
        <w:t>供应商应按“响应文件格式”</w:t>
      </w:r>
      <w:r>
        <w:rPr>
          <w:rFonts w:hint="eastAsia" w:ascii="Times New Roman" w:hAnsi="Times New Roman" w:cs="Times New Roman"/>
          <w:color w:val="auto"/>
        </w:rPr>
        <w:t>的</w:t>
      </w:r>
      <w:r>
        <w:rPr>
          <w:rFonts w:ascii="Times New Roman" w:hAnsi="Times New Roman" w:cs="Times New Roman"/>
          <w:color w:val="auto"/>
        </w:rPr>
        <w:t>规定提供资格审查资料，以证明其满</w:t>
      </w:r>
      <w:r>
        <w:rPr>
          <w:rFonts w:ascii="Times New Roman" w:hAnsi="Times New Roman" w:cs="Times New Roman"/>
          <w:color w:val="auto"/>
          <w:highlight w:val="none"/>
        </w:rPr>
        <w:t>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w:t>
      </w:r>
      <w:r>
        <w:rPr>
          <w:rFonts w:ascii="Times New Roman" w:hAnsi="Times New Roman" w:cs="Times New Roman"/>
          <w:color w:val="auto"/>
        </w:rPr>
        <w:t>定的资质、</w:t>
      </w:r>
      <w:r>
        <w:rPr>
          <w:rFonts w:hint="eastAsia" w:ascii="Times New Roman" w:hAnsi="Times New Roman" w:cs="Times New Roman"/>
          <w:color w:val="auto"/>
        </w:rPr>
        <w:t>能力、</w:t>
      </w:r>
      <w:r>
        <w:rPr>
          <w:rFonts w:ascii="Times New Roman" w:hAnsi="Times New Roman" w:cs="Times New Roman"/>
          <w:color w:val="auto"/>
        </w:rPr>
        <w:t>信誉等要求。</w:t>
      </w:r>
    </w:p>
    <w:p w14:paraId="24023D9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响应文件的编制</w:t>
      </w:r>
    </w:p>
    <w:p w14:paraId="0502C97E">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响应文件应按“响应文件格式”进行编写，如有必要，可以增加附页，作为响应文件的组成部分。</w:t>
      </w:r>
    </w:p>
    <w:p w14:paraId="56F89A40">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.2 响应文件应当对询比文件有关工期、响应有效期、质量要求、技术标准和要求、</w:t>
      </w:r>
      <w:r>
        <w:rPr>
          <w:rFonts w:hint="eastAsia" w:ascii="Times New Roman" w:hAnsi="Times New Roman" w:cs="Times New Roman"/>
          <w:color w:val="auto"/>
        </w:rPr>
        <w:t>采购范围</w:t>
      </w:r>
      <w:r>
        <w:rPr>
          <w:rFonts w:ascii="Times New Roman" w:hAnsi="Times New Roman" w:cs="Times New Roman"/>
          <w:color w:val="auto"/>
        </w:rPr>
        <w:t>等实质性内容作出响应。</w:t>
      </w:r>
    </w:p>
    <w:p w14:paraId="1A425AED">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.3响应文件的制作应满足以下规定：</w:t>
      </w:r>
    </w:p>
    <w:p w14:paraId="7EA6E91F">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响应</w:t>
      </w:r>
      <w:r>
        <w:rPr>
          <w:rFonts w:ascii="Times New Roman" w:hAnsi="Times New Roman" w:cs="Times New Roman"/>
          <w:color w:val="auto"/>
        </w:rPr>
        <w:t>文件应用不褪色的材料书写或打印，并按第六章“</w:t>
      </w:r>
      <w:r>
        <w:rPr>
          <w:rFonts w:hint="eastAsia" w:ascii="Times New Roman" w:hAnsi="Times New Roman" w:cs="Times New Roman"/>
          <w:color w:val="auto"/>
        </w:rPr>
        <w:t>响应文件</w:t>
      </w:r>
      <w:r>
        <w:rPr>
          <w:rFonts w:ascii="Times New Roman" w:hAnsi="Times New Roman" w:cs="Times New Roman"/>
          <w:color w:val="auto"/>
        </w:rPr>
        <w:t>格式”的要求进行</w:t>
      </w:r>
      <w:r>
        <w:rPr>
          <w:rFonts w:hint="eastAsia" w:ascii="Times New Roman" w:hAnsi="Times New Roman" w:cs="Times New Roman"/>
          <w:color w:val="auto"/>
        </w:rPr>
        <w:t>签名</w:t>
      </w:r>
      <w:r>
        <w:rPr>
          <w:rFonts w:ascii="Times New Roman" w:hAnsi="Times New Roman" w:cs="Times New Roman"/>
          <w:color w:val="auto"/>
        </w:rPr>
        <w:t>和（或）盖章。</w:t>
      </w:r>
      <w:r>
        <w:rPr>
          <w:rFonts w:hint="eastAsia" w:ascii="Times New Roman" w:hAnsi="Times New Roman" w:cs="Times New Roman"/>
          <w:color w:val="auto"/>
        </w:rPr>
        <w:t>响应</w:t>
      </w:r>
      <w:r>
        <w:rPr>
          <w:rFonts w:ascii="Times New Roman" w:hAnsi="Times New Roman" w:cs="Times New Roman"/>
          <w:color w:val="auto"/>
        </w:rPr>
        <w:t>文件应尽量避免涂改、行间插字或删除。如果出现上述情况，改动之处应由</w:t>
      </w:r>
      <w:r>
        <w:rPr>
          <w:rFonts w:hint="eastAsia" w:ascii="Times New Roman" w:hAnsi="Times New Roman" w:cs="Times New Roman"/>
          <w:color w:val="auto"/>
        </w:rPr>
        <w:t>供应商</w:t>
      </w:r>
      <w:r>
        <w:rPr>
          <w:rFonts w:ascii="Times New Roman" w:hAnsi="Times New Roman" w:cs="Times New Roman"/>
          <w:color w:val="auto"/>
        </w:rPr>
        <w:t>的法定代表人或其授权的代理人</w:t>
      </w:r>
      <w:r>
        <w:rPr>
          <w:rFonts w:hint="eastAsia" w:ascii="Times New Roman" w:hAnsi="Times New Roman" w:cs="Times New Roman"/>
          <w:color w:val="auto"/>
        </w:rPr>
        <w:t>签名</w:t>
      </w:r>
      <w:r>
        <w:rPr>
          <w:rFonts w:ascii="Times New Roman" w:hAnsi="Times New Roman" w:cs="Times New Roman"/>
          <w:color w:val="auto"/>
        </w:rPr>
        <w:t>或盖单位章。</w:t>
      </w:r>
    </w:p>
    <w:p w14:paraId="644A3ED9">
      <w:pPr>
        <w:spacing w:line="440" w:lineRule="exact"/>
        <w:ind w:firstLine="42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rPr>
        <w:t>响应文件正本一份，副本一份。正本和副本的封面右上角上应清楚地标记“正本”和“副本”的字样。当副本与正本不一致时，以正本文件为准。</w:t>
      </w:r>
    </w:p>
    <w:p w14:paraId="0F59FCF3">
      <w:pPr>
        <w:spacing w:line="440" w:lineRule="exact"/>
        <w:ind w:firstLine="420"/>
        <w:rPr>
          <w:rFonts w:ascii="Times New Roman" w:hAnsi="Times New Roman" w:cs="Times New Roman"/>
          <w:color w:val="auto"/>
        </w:rPr>
      </w:pPr>
      <w:r>
        <w:rPr>
          <w:rFonts w:hint="eastAsia" w:ascii="Times New Roman" w:hAnsi="Times New Roman" w:cs="Times New Roman"/>
          <w:color w:val="auto"/>
        </w:rPr>
        <w:t>（3）响应文件的正本与副本应分别装订。</w:t>
      </w:r>
    </w:p>
    <w:p w14:paraId="0A49C242">
      <w:pPr>
        <w:spacing w:line="440" w:lineRule="exact"/>
        <w:ind w:firstLine="420"/>
        <w:rPr>
          <w:rFonts w:ascii="Times New Roman" w:hAnsi="Times New Roman" w:cs="Times New Roman"/>
          <w:color w:val="auto"/>
        </w:rPr>
      </w:pPr>
      <w:r>
        <w:rPr>
          <w:rFonts w:hint="eastAsia" w:ascii="Times New Roman" w:hAnsi="Times New Roman" w:cs="Times New Roman"/>
          <w:color w:val="auto"/>
        </w:rPr>
        <w:t>（4）响应文件其他要求见供应商须知前附表</w:t>
      </w:r>
      <w:r>
        <w:rPr>
          <w:rFonts w:ascii="Times New Roman" w:hAnsi="Times New Roman" w:cs="Times New Roman"/>
          <w:color w:val="auto"/>
        </w:rPr>
        <w:t>。</w:t>
      </w:r>
    </w:p>
    <w:p w14:paraId="4AAE187F">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4. 响应文件的递交</w:t>
      </w:r>
    </w:p>
    <w:p w14:paraId="13EE94A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4.1响应文件的密封和标记</w:t>
      </w:r>
    </w:p>
    <w:p w14:paraId="42C9C6AD">
      <w:pPr>
        <w:spacing w:line="440" w:lineRule="exact"/>
        <w:ind w:firstLine="420"/>
        <w:rPr>
          <w:rFonts w:ascii="Times New Roman" w:hAnsi="Times New Roman" w:cs="Times New Roman"/>
          <w:b/>
          <w:bCs/>
          <w:color w:val="auto"/>
          <w:highlight w:val="yellow"/>
        </w:rPr>
      </w:pPr>
      <w:r>
        <w:rPr>
          <w:rFonts w:ascii="Times New Roman" w:hAnsi="Times New Roman" w:cs="Times New Roman"/>
          <w:b/>
          <w:bCs/>
          <w:color w:val="auto"/>
          <w:highlight w:val="yellow"/>
        </w:rPr>
        <w:t>4.1.1响应文件</w:t>
      </w:r>
      <w:r>
        <w:rPr>
          <w:rFonts w:hint="eastAsia" w:ascii="Times New Roman" w:hAnsi="Times New Roman" w:cs="Times New Roman"/>
          <w:b/>
          <w:bCs/>
          <w:color w:val="auto"/>
          <w:highlight w:val="yellow"/>
        </w:rPr>
        <w:t>正、副本</w:t>
      </w:r>
      <w:r>
        <w:rPr>
          <w:rFonts w:ascii="Times New Roman" w:hAnsi="Times New Roman" w:cs="Times New Roman"/>
          <w:b/>
          <w:bCs/>
          <w:color w:val="auto"/>
          <w:highlight w:val="yellow"/>
        </w:rPr>
        <w:t>应密封包装</w:t>
      </w:r>
      <w:r>
        <w:rPr>
          <w:rFonts w:hint="eastAsia" w:ascii="Times New Roman" w:hAnsi="Times New Roman" w:cs="Times New Roman"/>
          <w:b/>
          <w:bCs/>
          <w:color w:val="auto"/>
          <w:highlight w:val="yellow"/>
        </w:rPr>
        <w:t>在一个封套内开密封。</w:t>
      </w:r>
    </w:p>
    <w:p w14:paraId="51D7A5ED">
      <w:pPr>
        <w:spacing w:line="440" w:lineRule="exact"/>
        <w:ind w:firstLine="420"/>
        <w:rPr>
          <w:rFonts w:ascii="Times New Roman" w:hAnsi="Times New Roman" w:cs="Times New Roman"/>
          <w:color w:val="auto"/>
        </w:rPr>
      </w:pPr>
      <w:r>
        <w:rPr>
          <w:rFonts w:hint="eastAsia" w:ascii="Times New Roman" w:hAnsi="Times New Roman" w:cs="Times New Roman"/>
          <w:color w:val="auto"/>
        </w:rPr>
        <w:t>响应文件封套上注明：</w:t>
      </w:r>
    </w:p>
    <w:p w14:paraId="59054F16">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rPr>
        <w:t>供应商名称：</w:t>
      </w:r>
      <w:r>
        <w:rPr>
          <w:rFonts w:hint="eastAsia" w:ascii="Times New Roman" w:hAnsi="Times New Roman" w:eastAsia="黑体" w:cs="黑体"/>
          <w:b/>
          <w:bCs w:val="0"/>
          <w:snapToGrid w:val="0"/>
          <w:color w:val="auto"/>
          <w:kern w:val="0"/>
          <w:szCs w:val="21"/>
          <w:highlight w:val="yellow"/>
          <w:u w:val="single"/>
        </w:rPr>
        <w:t xml:space="preserve">            </w:t>
      </w:r>
    </w:p>
    <w:p w14:paraId="3BB7DE9A">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(项目</w:t>
      </w:r>
      <w:r>
        <w:rPr>
          <w:rFonts w:hint="eastAsia" w:ascii="Times New Roman" w:hAnsi="Times New Roman" w:eastAsia="黑体" w:cs="黑体"/>
          <w:b/>
          <w:bCs w:val="0"/>
          <w:color w:val="auto"/>
          <w:highlight w:val="yellow"/>
        </w:rPr>
        <w:t>名称</w:t>
      </w:r>
      <w:r>
        <w:rPr>
          <w:rFonts w:hint="eastAsia" w:ascii="Times New Roman" w:hAnsi="Times New Roman" w:eastAsia="黑体" w:cs="黑体"/>
          <w:b/>
          <w:bCs w:val="0"/>
          <w:snapToGrid w:val="0"/>
          <w:color w:val="auto"/>
          <w:kern w:val="0"/>
          <w:szCs w:val="21"/>
          <w:highlight w:val="yellow"/>
        </w:rPr>
        <w:t>)响应文件</w:t>
      </w:r>
    </w:p>
    <w:p w14:paraId="17E38B18">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rPr>
        <w:t>在</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年</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月</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日</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时</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分（递交响应文件的截止时间）前不得开启</w:t>
      </w:r>
    </w:p>
    <w:p w14:paraId="0F5BE6B2">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4.1.2</w:t>
      </w:r>
      <w:r>
        <w:rPr>
          <w:rFonts w:ascii="Times New Roman" w:hAnsi="Times New Roman"/>
          <w:color w:val="auto"/>
        </w:rPr>
        <w:t>未</w:t>
      </w:r>
      <w:r>
        <w:rPr>
          <w:rFonts w:ascii="Times New Roman" w:hAnsi="Times New Roman"/>
          <w:color w:val="auto"/>
          <w:highlight w:val="none"/>
        </w:rPr>
        <w:t>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3ADFF5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552ACF0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6543DF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48DB10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1725B4F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C9BF8D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26A52D4A">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采购人在本章第4.2.1项规</w:t>
      </w:r>
      <w:r>
        <w:rPr>
          <w:rFonts w:ascii="Times New Roman" w:hAnsi="Times New Roman" w:cs="Times New Roman"/>
          <w:color w:val="auto"/>
        </w:rPr>
        <w:t>定的响应文件递交截止时间（启封时间），</w:t>
      </w:r>
      <w:r>
        <w:rPr>
          <w:rFonts w:hint="eastAsia" w:ascii="Times New Roman" w:hAnsi="Times New Roman" w:cs="Times New Roman"/>
          <w:color w:val="auto"/>
        </w:rPr>
        <w:t>按照第一章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szCs w:val="21"/>
        </w:rPr>
        <w:t>的规定进行启封</w:t>
      </w:r>
      <w:r>
        <w:rPr>
          <w:rFonts w:ascii="Times New Roman" w:hAnsi="Times New Roman" w:cs="Times New Roman"/>
          <w:color w:val="auto"/>
        </w:rPr>
        <w:t>。</w:t>
      </w:r>
    </w:p>
    <w:p w14:paraId="29C72EAD">
      <w:pPr>
        <w:spacing w:line="440" w:lineRule="exact"/>
        <w:ind w:firstLine="420"/>
        <w:rPr>
          <w:rFonts w:ascii="Times New Roman" w:hAnsi="Times New Roman" w:cs="Times New Roman"/>
          <w:color w:val="auto"/>
        </w:rPr>
      </w:pPr>
      <w:r>
        <w:rPr>
          <w:rFonts w:ascii="Times New Roman" w:hAnsi="Times New Roman" w:cs="Times New Roman"/>
          <w:color w:val="auto"/>
        </w:rPr>
        <w:t>供应商若未派法定代表人或其委托代理人出席启封活动，视为该供应商默认启封结果。</w:t>
      </w:r>
    </w:p>
    <w:p w14:paraId="59565E90">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5.2</w:t>
      </w:r>
      <w:r>
        <w:rPr>
          <w:rFonts w:hint="eastAsia" w:ascii="Times New Roman" w:hAnsi="Times New Roman" w:eastAsia="黑体" w:cs="Times New Roman"/>
          <w:bCs/>
          <w:color w:val="auto"/>
          <w:sz w:val="24"/>
          <w:szCs w:val="32"/>
        </w:rPr>
        <w:t>启封</w:t>
      </w:r>
      <w:r>
        <w:rPr>
          <w:rFonts w:ascii="Times New Roman" w:hAnsi="Times New Roman" w:eastAsia="黑体" w:cs="Times New Roman"/>
          <w:bCs/>
          <w:color w:val="auto"/>
          <w:sz w:val="24"/>
          <w:szCs w:val="32"/>
        </w:rPr>
        <w:t>程序</w:t>
      </w:r>
    </w:p>
    <w:p w14:paraId="6176B199">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 xml:space="preserve">5.2.1主持人按下列程序进行启封： </w:t>
      </w:r>
    </w:p>
    <w:p w14:paraId="21881B0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（1）公布在响应文件递交截止时间</w:t>
      </w:r>
      <w:r>
        <w:rPr>
          <w:rFonts w:hint="eastAsia" w:ascii="Times New Roman" w:hAnsi="Times New Roman" w:cs="Times New Roman"/>
          <w:color w:val="auto"/>
        </w:rPr>
        <w:t>前</w:t>
      </w:r>
      <w:r>
        <w:rPr>
          <w:rFonts w:ascii="Times New Roman" w:hAnsi="Times New Roman" w:cs="Times New Roman"/>
          <w:color w:val="auto"/>
        </w:rPr>
        <w:t>递交响应文件的供应商名称；</w:t>
      </w:r>
    </w:p>
    <w:p w14:paraId="7D813986">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 xml:space="preserve">（2）由供应商推选的代表检查响应文件的密封情况； </w:t>
      </w:r>
    </w:p>
    <w:p w14:paraId="550993A0">
      <w:pPr>
        <w:spacing w:line="440" w:lineRule="exact"/>
        <w:ind w:firstLine="420" w:firstLineChars="20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lang w:val="en-US" w:eastAsia="zh-CN"/>
        </w:rPr>
        <w:t>3</w:t>
      </w:r>
      <w:r>
        <w:rPr>
          <w:rFonts w:ascii="Times New Roman" w:hAnsi="Times New Roman" w:cs="Times New Roman"/>
          <w:bCs/>
          <w:color w:val="auto"/>
        </w:rPr>
        <w:t>）</w:t>
      </w:r>
      <w:r>
        <w:rPr>
          <w:rFonts w:hint="eastAsia" w:ascii="Times New Roman" w:hAnsi="Times New Roman" w:cs="Times New Roman"/>
          <w:bCs/>
          <w:color w:val="auto"/>
        </w:rPr>
        <w:t>开启报价文件；</w:t>
      </w:r>
    </w:p>
    <w:p w14:paraId="6B715736">
      <w:pPr>
        <w:spacing w:line="440" w:lineRule="exact"/>
        <w:ind w:firstLine="420" w:firstLineChars="20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lang w:val="en-US" w:eastAsia="zh-CN"/>
        </w:rPr>
        <w:t>4</w:t>
      </w:r>
      <w:r>
        <w:rPr>
          <w:rFonts w:ascii="Times New Roman" w:hAnsi="Times New Roman" w:cs="Times New Roman"/>
          <w:bCs/>
          <w:color w:val="auto"/>
        </w:rPr>
        <w:t>）</w:t>
      </w:r>
      <w:r>
        <w:rPr>
          <w:rFonts w:hint="eastAsia" w:ascii="Times New Roman" w:hAnsi="Times New Roman" w:cs="Times New Roman"/>
          <w:bCs/>
          <w:color w:val="auto"/>
        </w:rPr>
        <w:t>启封</w:t>
      </w:r>
      <w:r>
        <w:rPr>
          <w:rFonts w:ascii="Times New Roman" w:hAnsi="Times New Roman" w:cs="Times New Roman"/>
          <w:color w:val="auto"/>
        </w:rPr>
        <w:t>结束</w:t>
      </w:r>
      <w:r>
        <w:rPr>
          <w:rFonts w:ascii="Times New Roman" w:hAnsi="Times New Roman" w:cs="Times New Roman"/>
          <w:bCs/>
          <w:color w:val="auto"/>
        </w:rPr>
        <w:t>。</w:t>
      </w:r>
    </w:p>
    <w:p w14:paraId="762B96A5">
      <w:pPr>
        <w:spacing w:line="440" w:lineRule="exact"/>
        <w:ind w:firstLine="420" w:firstLineChars="200"/>
        <w:rPr>
          <w:rFonts w:ascii="Times New Roman" w:hAnsi="Times New Roman" w:cs="Times New Roman"/>
          <w:color w:val="auto"/>
        </w:rPr>
      </w:pPr>
      <w:r>
        <w:rPr>
          <w:rFonts w:ascii="Times New Roman" w:hAnsi="Times New Roman" w:cs="Times New Roman"/>
          <w:bCs/>
          <w:color w:val="auto"/>
        </w:rPr>
        <w:t>5.2.2</w:t>
      </w:r>
      <w:r>
        <w:rPr>
          <w:rFonts w:ascii="Times New Roman" w:hAnsi="Times New Roman" w:cs="Times New Roman"/>
          <w:color w:val="auto"/>
        </w:rPr>
        <w:t>供应商</w:t>
      </w:r>
      <w:r>
        <w:rPr>
          <w:rFonts w:hint="eastAsia" w:ascii="Times New Roman" w:hAnsi="Times New Roman" w:cs="Times New Roman"/>
          <w:color w:val="auto"/>
        </w:rPr>
        <w:t>在</w:t>
      </w:r>
      <w:r>
        <w:rPr>
          <w:rFonts w:ascii="Times New Roman" w:hAnsi="Times New Roman" w:cs="Times New Roman"/>
          <w:color w:val="auto"/>
        </w:rPr>
        <w:t>启封过程</w:t>
      </w:r>
      <w:r>
        <w:rPr>
          <w:rFonts w:hint="eastAsia" w:ascii="Times New Roman" w:hAnsi="Times New Roman" w:cs="Times New Roman"/>
          <w:color w:val="auto"/>
        </w:rPr>
        <w:t>中</w:t>
      </w:r>
      <w:r>
        <w:rPr>
          <w:rFonts w:ascii="Times New Roman" w:hAnsi="Times New Roman" w:cs="Times New Roman"/>
          <w:color w:val="auto"/>
        </w:rPr>
        <w:t>有</w:t>
      </w:r>
      <w:r>
        <w:rPr>
          <w:rFonts w:hint="eastAsia" w:ascii="Times New Roman" w:hAnsi="Times New Roman" w:cs="Times New Roman"/>
          <w:color w:val="auto"/>
        </w:rPr>
        <w:t>疑问</w:t>
      </w:r>
      <w:r>
        <w:rPr>
          <w:rFonts w:ascii="Times New Roman" w:hAnsi="Times New Roman" w:cs="Times New Roman"/>
          <w:color w:val="auto"/>
        </w:rPr>
        <w:t>的，应当在</w:t>
      </w:r>
      <w:r>
        <w:rPr>
          <w:rFonts w:hint="eastAsia" w:ascii="Times New Roman" w:hAnsi="Times New Roman" w:cs="Times New Roman"/>
          <w:color w:val="auto"/>
        </w:rPr>
        <w:t>现场</w:t>
      </w:r>
      <w:r>
        <w:rPr>
          <w:rFonts w:ascii="Times New Roman" w:hAnsi="Times New Roman" w:cs="Times New Roman"/>
          <w:color w:val="auto"/>
        </w:rPr>
        <w:t>提出</w:t>
      </w:r>
      <w:r>
        <w:rPr>
          <w:rFonts w:hint="eastAsia" w:ascii="Times New Roman" w:hAnsi="Times New Roman" w:cs="Times New Roman"/>
          <w:color w:val="auto"/>
        </w:rPr>
        <w:t>，</w:t>
      </w:r>
      <w:r>
        <w:rPr>
          <w:rFonts w:ascii="Times New Roman" w:hAnsi="Times New Roman" w:cs="Times New Roman"/>
          <w:color w:val="auto"/>
        </w:rPr>
        <w:t>采购人</w:t>
      </w:r>
      <w:r>
        <w:rPr>
          <w:rFonts w:hint="eastAsia" w:ascii="Times New Roman" w:hAnsi="Times New Roman" w:cs="Times New Roman"/>
          <w:color w:val="auto"/>
        </w:rPr>
        <w:t>将</w:t>
      </w:r>
      <w:r>
        <w:rPr>
          <w:rFonts w:ascii="Times New Roman" w:hAnsi="Times New Roman" w:cs="Times New Roman"/>
          <w:color w:val="auto"/>
        </w:rPr>
        <w:t>当场作出答复。</w:t>
      </w:r>
    </w:p>
    <w:p w14:paraId="013F24AB">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 评审</w:t>
      </w:r>
    </w:p>
    <w:p w14:paraId="6E6E56C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6.1</w:t>
      </w:r>
      <w:r>
        <w:rPr>
          <w:rFonts w:hint="eastAsia" w:ascii="Times New Roman" w:hAnsi="Times New Roman" w:eastAsia="黑体" w:cs="Times New Roman"/>
          <w:bCs/>
          <w:color w:val="auto"/>
          <w:sz w:val="24"/>
          <w:szCs w:val="32"/>
        </w:rPr>
        <w:t>评审小组</w:t>
      </w:r>
    </w:p>
    <w:p w14:paraId="1A05473A">
      <w:pPr>
        <w:spacing w:line="440" w:lineRule="exact"/>
        <w:ind w:firstLine="420"/>
        <w:rPr>
          <w:rFonts w:ascii="Times New Roman" w:hAnsi="Times New Roman" w:cs="Times New Roman"/>
          <w:color w:val="auto"/>
        </w:rPr>
      </w:pPr>
      <w:r>
        <w:rPr>
          <w:rFonts w:ascii="Times New Roman" w:hAnsi="Times New Roman" w:cs="Times New Roman"/>
          <w:color w:val="auto"/>
        </w:rPr>
        <w:t>评审由采购人</w:t>
      </w:r>
      <w:r>
        <w:rPr>
          <w:rFonts w:hint="eastAsia" w:ascii="Times New Roman" w:hAnsi="Times New Roman" w:cs="Times New Roman"/>
          <w:color w:val="auto"/>
        </w:rPr>
        <w:t>自行</w:t>
      </w:r>
      <w:r>
        <w:rPr>
          <w:rFonts w:ascii="Times New Roman" w:hAnsi="Times New Roman" w:cs="Times New Roman"/>
          <w:color w:val="auto"/>
        </w:rPr>
        <w:t>组建的</w:t>
      </w:r>
      <w:r>
        <w:rPr>
          <w:rFonts w:hint="eastAsia" w:ascii="Times New Roman" w:hAnsi="Times New Roman" w:cs="Times New Roman"/>
          <w:color w:val="auto"/>
        </w:rPr>
        <w:t>评审小组</w:t>
      </w:r>
      <w:r>
        <w:rPr>
          <w:rFonts w:ascii="Times New Roman" w:hAnsi="Times New Roman" w:cs="Times New Roman"/>
          <w:color w:val="auto"/>
        </w:rPr>
        <w:t>负责。</w:t>
      </w:r>
      <w:r>
        <w:rPr>
          <w:rFonts w:hint="eastAsia" w:ascii="Times New Roman" w:hAnsi="Times New Roman" w:cs="Times New Roman"/>
          <w:color w:val="auto"/>
        </w:rPr>
        <w:t>评审小组人数：3人及以上单数</w:t>
      </w:r>
      <w:r>
        <w:rPr>
          <w:rFonts w:ascii="Times New Roman" w:hAnsi="Times New Roman" w:cs="Times New Roman"/>
          <w:color w:val="auto"/>
        </w:rPr>
        <w:t>。</w:t>
      </w:r>
    </w:p>
    <w:p w14:paraId="578A3D08">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评审</w:t>
      </w:r>
    </w:p>
    <w:p w14:paraId="6D544840">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.1</w:t>
      </w:r>
      <w:r>
        <w:rPr>
          <w:rFonts w:hint="eastAsia" w:ascii="Times New Roman" w:hAnsi="Times New Roman" w:cs="Times New Roman"/>
          <w:color w:val="auto"/>
        </w:rPr>
        <w:t>评审小组</w:t>
      </w:r>
      <w:r>
        <w:rPr>
          <w:rFonts w:ascii="Times New Roman" w:hAnsi="Times New Roman" w:cs="Times New Roman"/>
          <w:color w:val="auto"/>
        </w:rPr>
        <w:t>按照第三章“评审办法”规定的方法、评审因素、标准和程序对响应文件进行评审。</w:t>
      </w:r>
    </w:p>
    <w:p w14:paraId="5564B21D">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.2评审完成后，</w:t>
      </w:r>
      <w:r>
        <w:rPr>
          <w:rFonts w:hint="eastAsia" w:ascii="Times New Roman" w:hAnsi="Times New Roman" w:cs="Times New Roman"/>
          <w:color w:val="auto"/>
        </w:rPr>
        <w:t>评审小组</w:t>
      </w:r>
      <w:r>
        <w:rPr>
          <w:rFonts w:ascii="Times New Roman" w:hAnsi="Times New Roman" w:cs="Times New Roman"/>
          <w:color w:val="auto"/>
        </w:rPr>
        <w:t>应向采购人提交书面评审报告和成交候选人名单。</w:t>
      </w:r>
      <w:r>
        <w:rPr>
          <w:rFonts w:hint="eastAsia" w:ascii="Times New Roman" w:hAnsi="Times New Roman" w:cs="Times New Roman"/>
          <w:color w:val="auto"/>
        </w:rPr>
        <w:t>评审小组</w:t>
      </w:r>
      <w:r>
        <w:rPr>
          <w:rFonts w:ascii="Times New Roman" w:hAnsi="Times New Roman" w:cs="Times New Roman"/>
          <w:color w:val="auto"/>
        </w:rPr>
        <w:t>推荐成交候选人的人数</w:t>
      </w:r>
      <w:r>
        <w:rPr>
          <w:rFonts w:hint="eastAsia" w:ascii="Times New Roman" w:hAnsi="Times New Roman" w:cs="Times New Roman"/>
          <w:color w:val="auto"/>
        </w:rPr>
        <w:t>为：3人（如不足3人，可以按实际数量推荐）</w:t>
      </w:r>
      <w:r>
        <w:rPr>
          <w:rFonts w:ascii="Times New Roman" w:hAnsi="Times New Roman" w:cs="Times New Roman"/>
          <w:color w:val="auto"/>
        </w:rPr>
        <w:t>。</w:t>
      </w:r>
    </w:p>
    <w:p w14:paraId="1311EDE9">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 合同授予</w:t>
      </w:r>
    </w:p>
    <w:p w14:paraId="31E0C24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7.1成交候选人公示</w:t>
      </w:r>
    </w:p>
    <w:p w14:paraId="168A3EAB">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采用公开询比方式采购的项目，公示期不得少于</w:t>
      </w:r>
      <w:r>
        <w:rPr>
          <w:rFonts w:hint="eastAsia" w:ascii="Times New Roman" w:hAnsi="Times New Roman" w:cs="Times New Roman"/>
          <w:color w:val="auto"/>
          <w:lang w:val="en-US" w:eastAsia="zh-CN"/>
        </w:rPr>
        <w:t>3</w:t>
      </w:r>
      <w:r>
        <w:rPr>
          <w:rFonts w:ascii="Times New Roman" w:hAnsi="Times New Roman" w:cs="Times New Roman"/>
          <w:color w:val="auto"/>
        </w:rPr>
        <w:t>日。</w:t>
      </w:r>
    </w:p>
    <w:p w14:paraId="5092D8E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7.2评审结果异议</w:t>
      </w:r>
    </w:p>
    <w:p w14:paraId="2C98B56B">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供应商或其他利害关系人对评审结果有异议的，应在成交候选人公示期间提出。</w:t>
      </w:r>
    </w:p>
    <w:p w14:paraId="7974A1F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7.3成交候选人履约能力审查</w:t>
      </w:r>
    </w:p>
    <w:p w14:paraId="0A7731C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rPr>
        <w:t>评审小组</w:t>
      </w:r>
      <w:r>
        <w:rPr>
          <w:rFonts w:ascii="Times New Roman" w:hAnsi="Times New Roman" w:cs="Times New Roman"/>
          <w:color w:val="auto"/>
        </w:rPr>
        <w:t>按照询比文件规定的标准和方法进行审查确认。</w:t>
      </w:r>
    </w:p>
    <w:p w14:paraId="19BCF1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rPr>
        <w:t>7.4履约</w:t>
      </w:r>
      <w:r>
        <w:rPr>
          <w:rFonts w:ascii="Times New Roman" w:hAnsi="Times New Roman" w:eastAsia="黑体" w:cs="Times New Roman"/>
          <w:bCs/>
          <w:color w:val="auto"/>
          <w:sz w:val="24"/>
          <w:szCs w:val="32"/>
          <w:highlight w:val="none"/>
        </w:rPr>
        <w:t>保证金</w:t>
      </w:r>
    </w:p>
    <w:p w14:paraId="0084495E">
      <w:pPr>
        <w:spacing w:line="440" w:lineRule="exact"/>
        <w:ind w:firstLine="420" w:firstLineChars="200"/>
        <w:rPr>
          <w:rFonts w:hint="eastAsia" w:ascii="Times New Roman" w:hAnsi="Times New Roman" w:cs="Times New Roman"/>
          <w:color w:val="auto"/>
          <w:highlight w:val="none"/>
        </w:rPr>
      </w:pPr>
      <w:r>
        <w:rPr>
          <w:rFonts w:ascii="Times New Roman" w:hAnsi="Times New Roman" w:cs="Times New Roman"/>
          <w:color w:val="auto"/>
          <w:highlight w:val="none"/>
        </w:rPr>
        <w:t>7.4.1</w:t>
      </w:r>
      <w:r>
        <w:rPr>
          <w:rFonts w:hint="eastAsia" w:ascii="宋体" w:hAnsi="宋体" w:cs="宋体"/>
          <w:b w:val="0"/>
          <w:bCs/>
          <w:color w:val="auto"/>
          <w:sz w:val="21"/>
          <w:szCs w:val="21"/>
          <w:highlight w:val="none"/>
          <w:lang w:val="en-US" w:eastAsia="zh-CN" w:bidi="ar"/>
        </w:rPr>
        <w:t>成交公示</w:t>
      </w:r>
      <w:r>
        <w:rPr>
          <w:rFonts w:hint="eastAsia" w:ascii="宋体" w:hAnsi="宋体" w:cs="宋体"/>
          <w:b w:val="0"/>
          <w:bCs/>
          <w:color w:val="auto"/>
          <w:sz w:val="21"/>
          <w:szCs w:val="21"/>
          <w:highlight w:val="none"/>
          <w:lang w:bidi="ar"/>
        </w:rPr>
        <w:t>后</w:t>
      </w:r>
      <w:r>
        <w:rPr>
          <w:rFonts w:hint="eastAsia" w:ascii="宋体" w:hAnsi="宋体" w:cs="宋体"/>
          <w:b w:val="0"/>
          <w:bCs/>
          <w:color w:val="FF0000"/>
          <w:sz w:val="21"/>
          <w:szCs w:val="21"/>
          <w:highlight w:val="none"/>
          <w:lang w:bidi="ar"/>
        </w:rPr>
        <w:t>，</w:t>
      </w:r>
      <w:r>
        <w:rPr>
          <w:rFonts w:hint="eastAsia" w:ascii="宋体" w:hAnsi="宋体" w:cs="宋体"/>
          <w:b w:val="0"/>
          <w:bCs/>
          <w:color w:val="FF0000"/>
          <w:sz w:val="21"/>
          <w:szCs w:val="21"/>
          <w:highlight w:val="none"/>
          <w:lang w:eastAsia="zh-CN" w:bidi="ar"/>
        </w:rPr>
        <w:t>在</w:t>
      </w:r>
      <w:r>
        <w:rPr>
          <w:rFonts w:hint="eastAsia" w:ascii="宋体" w:hAnsi="宋体" w:cs="宋体"/>
          <w:b w:val="0"/>
          <w:bCs/>
          <w:color w:val="FF0000"/>
          <w:sz w:val="21"/>
          <w:szCs w:val="21"/>
          <w:highlight w:val="none"/>
          <w:lang w:val="en-US" w:eastAsia="zh-CN" w:bidi="ar"/>
        </w:rPr>
        <w:t>合同签订前，乙方需向甲方支付合同总价</w:t>
      </w:r>
      <w:r>
        <w:rPr>
          <w:rFonts w:hint="eastAsia" w:ascii="宋体" w:hAnsi="宋体" w:cs="宋体"/>
          <w:b w:val="0"/>
          <w:bCs/>
          <w:color w:val="FF0000"/>
          <w:sz w:val="21"/>
          <w:szCs w:val="21"/>
          <w:highlight w:val="none"/>
          <w:u w:val="single"/>
          <w:lang w:val="en-US" w:eastAsia="zh-CN" w:bidi="ar"/>
        </w:rPr>
        <w:t>2%</w:t>
      </w:r>
      <w:r>
        <w:rPr>
          <w:rFonts w:hint="eastAsia" w:ascii="宋体" w:hAnsi="宋体" w:cs="宋体"/>
          <w:b w:val="0"/>
          <w:bCs/>
          <w:color w:val="FF0000"/>
          <w:sz w:val="21"/>
          <w:szCs w:val="21"/>
          <w:highlight w:val="none"/>
          <w:lang w:val="en-US" w:eastAsia="zh-CN" w:bidi="ar"/>
        </w:rPr>
        <w:t>的</w:t>
      </w:r>
      <w:r>
        <w:rPr>
          <w:rFonts w:hint="eastAsia" w:ascii="宋体" w:hAnsi="宋体" w:cs="宋体"/>
          <w:b w:val="0"/>
          <w:bCs/>
          <w:color w:val="FF0000"/>
          <w:sz w:val="21"/>
          <w:szCs w:val="21"/>
          <w:highlight w:val="none"/>
          <w:lang w:bidi="ar"/>
        </w:rPr>
        <w:t>履约保证金</w:t>
      </w:r>
      <w:r>
        <w:rPr>
          <w:rFonts w:hint="eastAsia" w:ascii="宋体" w:hAnsi="宋体" w:cs="宋体"/>
          <w:b w:val="0"/>
          <w:bCs/>
          <w:color w:val="FF0000"/>
          <w:sz w:val="21"/>
          <w:szCs w:val="21"/>
          <w:highlight w:val="none"/>
          <w:lang w:val="en-US" w:eastAsia="zh-CN" w:bidi="ar"/>
        </w:rPr>
        <w:t>或提供合同总价</w:t>
      </w:r>
      <w:r>
        <w:rPr>
          <w:rFonts w:hint="eastAsia" w:ascii="宋体" w:hAnsi="宋体" w:cs="宋体"/>
          <w:b w:val="0"/>
          <w:bCs/>
          <w:color w:val="FF0000"/>
          <w:sz w:val="21"/>
          <w:szCs w:val="21"/>
          <w:highlight w:val="none"/>
          <w:u w:val="single"/>
          <w:lang w:val="en-US" w:eastAsia="zh-CN" w:bidi="ar"/>
        </w:rPr>
        <w:t>5%</w:t>
      </w:r>
      <w:r>
        <w:rPr>
          <w:rFonts w:hint="eastAsia" w:ascii="宋体" w:hAnsi="宋体" w:cs="宋体"/>
          <w:b w:val="0"/>
          <w:bCs/>
          <w:color w:val="FF0000"/>
          <w:sz w:val="21"/>
          <w:szCs w:val="21"/>
          <w:highlight w:val="none"/>
          <w:lang w:val="en-US" w:eastAsia="zh-CN" w:bidi="ar"/>
        </w:rPr>
        <w:t>的银行保函</w:t>
      </w:r>
      <w:r>
        <w:rPr>
          <w:rFonts w:hint="eastAsia" w:ascii="Times New Roman" w:hAnsi="Times New Roman" w:cs="Times New Roman"/>
          <w:color w:val="FF0000"/>
          <w:highlight w:val="none"/>
        </w:rPr>
        <w:t>。</w:t>
      </w:r>
    </w:p>
    <w:p w14:paraId="746179DA">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7.4.2 成交人不能</w:t>
      </w:r>
      <w:r>
        <w:rPr>
          <w:rFonts w:ascii="Times New Roman" w:hAnsi="Times New Roman" w:cs="Times New Roman"/>
          <w:color w:val="auto"/>
          <w:highlight w:val="none"/>
        </w:rPr>
        <w:t>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w:t>
      </w:r>
      <w:r>
        <w:rPr>
          <w:rFonts w:ascii="Times New Roman" w:hAnsi="Times New Roman" w:cs="Times New Roman"/>
          <w:color w:val="auto"/>
        </w:rPr>
        <w:t>求提交履约保证金的，视为放弃成交候选人，其响应保证金不予退还，给采购人造成的损失超过响应保证金数额的，成交人还应当对超过部分予以赔偿。</w:t>
      </w:r>
    </w:p>
    <w:p w14:paraId="5A8C8460">
      <w:pPr>
        <w:pStyle w:val="7"/>
        <w:spacing w:line="440" w:lineRule="exact"/>
        <w:ind w:firstLine="420" w:firstLineChars="200"/>
        <w:rPr>
          <w:color w:val="auto"/>
        </w:rPr>
      </w:pPr>
      <w:r>
        <w:rPr>
          <w:rFonts w:hint="eastAsia" w:ascii="Times New Roman" w:hAnsi="Times New Roman" w:cs="Times New Roman"/>
          <w:color w:val="auto"/>
        </w:rPr>
        <w:t>7.4.3履约保证金在</w:t>
      </w:r>
      <w:r>
        <w:rPr>
          <w:rFonts w:hint="eastAsia" w:ascii="宋体" w:hAnsi="宋体" w:eastAsia="宋体" w:cs="宋体"/>
          <w:color w:val="auto"/>
          <w:szCs w:val="21"/>
        </w:rPr>
        <w:t>该项目物资供应整体验收完成后28天内无息退还。</w:t>
      </w:r>
    </w:p>
    <w:p w14:paraId="5BBF2B2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7.5签订合同</w:t>
      </w:r>
    </w:p>
    <w:p w14:paraId="4FE7F7B9">
      <w:pPr>
        <w:spacing w:line="440" w:lineRule="exact"/>
        <w:ind w:firstLine="420"/>
        <w:rPr>
          <w:rFonts w:ascii="Times New Roman" w:hAnsi="Times New Roman" w:cs="Times New Roman"/>
          <w:color w:val="auto"/>
        </w:rPr>
      </w:pPr>
      <w:r>
        <w:rPr>
          <w:rFonts w:ascii="Times New Roman" w:hAnsi="Times New Roman" w:cs="Times New Roman"/>
          <w:color w:val="auto"/>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11174BA7">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8. 纪律和监督</w:t>
      </w:r>
    </w:p>
    <w:p w14:paraId="45BDF82B">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8.1 对采购人的纪律要求</w:t>
      </w:r>
    </w:p>
    <w:p w14:paraId="23E673CC">
      <w:pPr>
        <w:spacing w:line="440" w:lineRule="exact"/>
        <w:ind w:firstLine="420"/>
        <w:rPr>
          <w:rFonts w:ascii="Times New Roman" w:hAnsi="Times New Roman" w:cs="Times New Roman"/>
          <w:color w:val="auto"/>
        </w:rPr>
      </w:pPr>
      <w:r>
        <w:rPr>
          <w:rFonts w:hint="eastAsia" w:ascii="Times New Roman" w:hAnsi="Times New Roman" w:cs="Times New Roman"/>
          <w:color w:val="auto"/>
        </w:rPr>
        <w:t>采购人不得泄露采购活动中应当保密的情况和资料， 不得与响应供应商串通损害国家利益、社会公共利益或者他人合法权益。</w:t>
      </w:r>
    </w:p>
    <w:p w14:paraId="5AF51B58">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8.2对响应供应商的纪律要求</w:t>
      </w:r>
    </w:p>
    <w:p w14:paraId="0826EEB1">
      <w:pPr>
        <w:spacing w:line="440" w:lineRule="exact"/>
        <w:ind w:firstLine="420"/>
        <w:rPr>
          <w:rFonts w:ascii="Times New Roman" w:hAnsi="Times New Roman" w:cs="Times New Roman"/>
          <w:color w:val="auto"/>
        </w:rPr>
      </w:pPr>
      <w:r>
        <w:rPr>
          <w:rFonts w:hint="eastAsia" w:ascii="Times New Roman" w:hAnsi="Times New Roman" w:cs="Times New Roman"/>
          <w:color w:val="auto"/>
        </w:rPr>
        <w:t>供应商不得相互串通报价或与采购人串通报价，不得向采购人或评审小组成员行贿谋取成交，不得以他人名义报价或以其他方式弄虚作假骗取成交；供应商不得以任何方式干扰、影响评审工作。</w:t>
      </w:r>
    </w:p>
    <w:p w14:paraId="589FA91B">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8.3 对评审小组成员的纪律要求</w:t>
      </w:r>
    </w:p>
    <w:p w14:paraId="0027627B">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评审小组成员不得收受他人的财物或者其他好处，不得向他人透露对响应文件的评审和比较、</w:t>
      </w:r>
      <w:r>
        <w:rPr>
          <w:rFonts w:hint="eastAsia" w:ascii="Times New Roman" w:hAnsi="Times New Roman" w:cs="Times New Roman"/>
          <w:color w:val="auto"/>
          <w:lang w:val="en-US" w:eastAsia="zh-CN"/>
        </w:rPr>
        <w:t>成交</w:t>
      </w:r>
      <w:r>
        <w:rPr>
          <w:rFonts w:hint="eastAsia" w:ascii="Times New Roman" w:hAnsi="Times New Roman" w:cs="Times New Roman"/>
          <w:color w:val="auto"/>
        </w:rPr>
        <w:t>候选人的推荐情况以及评审有关的其他情况。在评审活动中，评审小组成员应当客观、公正地履行职责，遵守职业道德，不得擅离职守，影响评标程序正常进行，不得使用第三章“评审办法”没有规定的评审因素和标准进行评审。</w:t>
      </w:r>
    </w:p>
    <w:p w14:paraId="01F9AADB">
      <w:pPr>
        <w:keepNext/>
        <w:keepLines/>
        <w:spacing w:before="156" w:beforeLines="50" w:after="156" w:afterLines="50"/>
        <w:outlineLvl w:val="1"/>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 xml:space="preserve">9. </w:t>
      </w:r>
      <w:r>
        <w:rPr>
          <w:rFonts w:ascii="Times New Roman" w:hAnsi="Times New Roman" w:eastAsia="黑体" w:cs="Times New Roman"/>
          <w:bCs/>
          <w:color w:val="auto"/>
          <w:sz w:val="24"/>
          <w:szCs w:val="32"/>
        </w:rPr>
        <w:t>需要补充的其他内容</w:t>
      </w:r>
    </w:p>
    <w:p w14:paraId="621C4071">
      <w:pPr>
        <w:spacing w:line="440" w:lineRule="exact"/>
        <w:ind w:firstLine="420"/>
        <w:rPr>
          <w:rFonts w:ascii="Times New Roman" w:hAnsi="Times New Roman" w:cs="Times New Roman"/>
          <w:color w:val="auto"/>
        </w:rPr>
      </w:pPr>
      <w:r>
        <w:rPr>
          <w:rFonts w:hint="eastAsia" w:ascii="Times New Roman" w:hAnsi="Times New Roman" w:cs="Times New Roman"/>
          <w:color w:val="auto"/>
        </w:rPr>
        <w:t>需要补充的其他内容：见供应商须知前附表。</w:t>
      </w:r>
    </w:p>
    <w:bookmarkEnd w:id="49"/>
    <w:bookmarkEnd w:id="50"/>
    <w:bookmarkEnd w:id="51"/>
    <w:p w14:paraId="70E10FB2">
      <w:pPr>
        <w:spacing w:line="440" w:lineRule="exact"/>
        <w:ind w:firstLine="420"/>
        <w:rPr>
          <w:rFonts w:ascii="Times New Roman" w:hAnsi="Times New Roman" w:cs="Times New Roman"/>
          <w:color w:val="auto"/>
        </w:rPr>
      </w:pPr>
      <w:r>
        <w:rPr>
          <w:rFonts w:hint="eastAsia" w:ascii="Times New Roman" w:hAnsi="Times New Roman" w:cs="Times New Roman"/>
          <w:color w:val="auto"/>
        </w:rPr>
        <w:br w:type="page"/>
      </w:r>
    </w:p>
    <w:p w14:paraId="052405B8">
      <w:pPr>
        <w:pStyle w:val="2"/>
        <w:spacing w:before="312" w:after="312"/>
        <w:rPr>
          <w:rFonts w:ascii="Times New Roman" w:hAnsi="Times New Roman" w:eastAsia="宋体" w:cs="Times New Roman"/>
          <w:color w:val="auto"/>
        </w:rPr>
      </w:pPr>
      <w:bookmarkStart w:id="52" w:name="_Toc10567"/>
      <w:r>
        <w:rPr>
          <w:rFonts w:ascii="Times New Roman" w:hAnsi="Times New Roman" w:eastAsia="宋体" w:cs="Times New Roman"/>
          <w:color w:val="auto"/>
        </w:rPr>
        <w:t>评审办法</w:t>
      </w:r>
      <w:bookmarkEnd w:id="52"/>
    </w:p>
    <w:p w14:paraId="7E4C9365">
      <w:pPr>
        <w:rPr>
          <w:rFonts w:ascii="Times New Roman" w:hAnsi="Times New Roman" w:eastAsia="宋体" w:cs="Times New Roman"/>
          <w:color w:val="auto"/>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5161DC14">
      <w:pPr>
        <w:spacing w:after="312" w:afterLines="100" w:line="420" w:lineRule="exact"/>
        <w:jc w:val="center"/>
        <w:rPr>
          <w:rFonts w:ascii="Times New Roman" w:hAnsi="Times New Roman" w:eastAsia="黑体" w:cs="Times New Roman"/>
          <w:color w:val="auto"/>
          <w:sz w:val="28"/>
          <w:szCs w:val="28"/>
          <w:highlight w:val="yellow"/>
        </w:rPr>
      </w:pPr>
      <w:r>
        <w:rPr>
          <w:rFonts w:ascii="Times New Roman" w:hAnsi="Times New Roman" w:eastAsia="黑体" w:cs="Times New Roman"/>
          <w:color w:val="auto"/>
          <w:sz w:val="28"/>
          <w:szCs w:val="28"/>
        </w:rPr>
        <w:t>评审办法前附表</w:t>
      </w:r>
      <w:r>
        <w:rPr>
          <w:rFonts w:hint="eastAsia" w:ascii="Times New Roman" w:hAnsi="Times New Roman" w:eastAsia="黑体" w:cs="Times New Roman"/>
          <w:color w:val="auto"/>
          <w:sz w:val="28"/>
          <w:szCs w:val="28"/>
          <w:highlight w:val="yellow"/>
        </w:rPr>
        <w:t>（最低价法）</w:t>
      </w:r>
    </w:p>
    <w:p w14:paraId="3244C7F4">
      <w:pPr>
        <w:keepNext/>
        <w:keepLines/>
        <w:spacing w:line="400" w:lineRule="exact"/>
        <w:rPr>
          <w:rFonts w:hint="eastAsia" w:ascii="宋体" w:hAnsi="宋体" w:eastAsia="宋体" w:cs="宋体"/>
          <w:b/>
          <w:bCs/>
          <w:color w:val="auto"/>
          <w:kern w:val="0"/>
          <w:sz w:val="28"/>
          <w:szCs w:val="28"/>
        </w:rPr>
      </w:pPr>
      <w:bookmarkStart w:id="53" w:name="_Toc152042304"/>
      <w:bookmarkStart w:id="54" w:name="_Toc447808662"/>
      <w:bookmarkStart w:id="55" w:name="_Toc144974496"/>
      <w:bookmarkStart w:id="56" w:name="_Toc152045528"/>
      <w:bookmarkStart w:id="57" w:name="_Toc14847"/>
      <w:bookmarkStart w:id="58" w:name="_Toc457482536"/>
      <w:bookmarkStart w:id="59" w:name="_Toc3834"/>
      <w:r>
        <w:rPr>
          <w:rFonts w:hint="eastAsia" w:ascii="宋体" w:hAnsi="宋体" w:eastAsia="宋体" w:cs="宋体"/>
          <w:b/>
          <w:bCs/>
          <w:color w:val="auto"/>
          <w:kern w:val="0"/>
          <w:sz w:val="28"/>
          <w:szCs w:val="28"/>
        </w:rPr>
        <w:t>前附表</w:t>
      </w:r>
      <w:bookmarkEnd w:id="53"/>
      <w:bookmarkEnd w:id="54"/>
      <w:bookmarkEnd w:id="55"/>
      <w:bookmarkEnd w:id="56"/>
      <w:bookmarkEnd w:id="57"/>
      <w:bookmarkEnd w:id="58"/>
      <w:bookmarkEnd w:id="59"/>
      <w:r>
        <w:rPr>
          <w:rFonts w:hint="eastAsia" w:ascii="宋体" w:hAnsi="宋体" w:eastAsia="宋体" w:cs="宋体"/>
          <w:b/>
          <w:bCs/>
          <w:color w:val="auto"/>
          <w:kern w:val="0"/>
          <w:sz w:val="28"/>
          <w:szCs w:val="28"/>
        </w:rPr>
        <w:t>A</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0A87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13B7A992">
            <w:pPr>
              <w:widowControl/>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774" w:type="dxa"/>
            <w:vAlign w:val="center"/>
          </w:tcPr>
          <w:p w14:paraId="07F0F5EC">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676" w:type="dxa"/>
            <w:gridSpan w:val="2"/>
            <w:vAlign w:val="center"/>
          </w:tcPr>
          <w:p w14:paraId="421714D5">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22D9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7A4E3171">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1</w:t>
            </w:r>
          </w:p>
        </w:tc>
        <w:tc>
          <w:tcPr>
            <w:tcW w:w="1060" w:type="dxa"/>
            <w:vAlign w:val="center"/>
          </w:tcPr>
          <w:p w14:paraId="24CBBDC1">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评审</w:t>
            </w:r>
            <w:r>
              <w:rPr>
                <w:rFonts w:hint="eastAsia" w:ascii="Times New Roman" w:hAnsi="Times New Roman" w:cs="Times New Roman"/>
                <w:bCs/>
                <w:color w:val="auto"/>
                <w:kern w:val="0"/>
                <w:szCs w:val="21"/>
              </w:rPr>
              <w:t>方</w:t>
            </w:r>
            <w:r>
              <w:rPr>
                <w:rFonts w:ascii="Times New Roman" w:hAnsi="Times New Roman" w:cs="Times New Roman"/>
                <w:bCs/>
                <w:color w:val="auto"/>
                <w:kern w:val="0"/>
                <w:szCs w:val="21"/>
              </w:rPr>
              <w:t>法</w:t>
            </w:r>
          </w:p>
        </w:tc>
        <w:tc>
          <w:tcPr>
            <w:tcW w:w="1774" w:type="dxa"/>
            <w:tcMar>
              <w:left w:w="75" w:type="dxa"/>
            </w:tcMar>
            <w:vAlign w:val="center"/>
          </w:tcPr>
          <w:p w14:paraId="373B58C6">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成交候选人</w:t>
            </w:r>
          </w:p>
          <w:p w14:paraId="7AC97E97">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排序方法</w:t>
            </w:r>
          </w:p>
        </w:tc>
        <w:tc>
          <w:tcPr>
            <w:tcW w:w="5676" w:type="dxa"/>
            <w:gridSpan w:val="2"/>
            <w:tcMar>
              <w:left w:w="75" w:type="dxa"/>
            </w:tcMar>
            <w:vAlign w:val="center"/>
          </w:tcPr>
          <w:p w14:paraId="1F0A5ED1">
            <w:pPr>
              <w:widowControl/>
              <w:adjustRightInd w:val="0"/>
              <w:snapToGrid w:val="0"/>
              <w:jc w:val="left"/>
              <w:rPr>
                <w:color w:val="auto"/>
              </w:rPr>
            </w:pPr>
            <w:r>
              <w:rPr>
                <w:rFonts w:hint="eastAsia"/>
                <w:color w:val="auto"/>
              </w:rPr>
              <w:t>按评审价由低到高的顺序依次推荐成交候选人：</w:t>
            </w:r>
          </w:p>
          <w:p w14:paraId="6BE44A6B">
            <w:pPr>
              <w:spacing w:line="440" w:lineRule="exact"/>
              <w:rPr>
                <w:rFonts w:hint="eastAsia" w:ascii="宋体" w:hAnsi="宋体" w:eastAsia="宋体" w:cs="宋体"/>
                <w:color w:val="auto"/>
                <w:szCs w:val="21"/>
              </w:rPr>
            </w:pPr>
            <w:r>
              <w:rPr>
                <w:rFonts w:hint="eastAsia" w:ascii="宋体" w:hAnsi="宋体" w:eastAsia="宋体" w:cs="宋体"/>
                <w:color w:val="auto"/>
                <w:szCs w:val="21"/>
              </w:rPr>
              <w:t>评审价相等时，评审委员会依次按照以下优先顺序推荐成交候选人：</w:t>
            </w:r>
          </w:p>
          <w:p w14:paraId="3007EA8D">
            <w:pPr>
              <w:spacing w:line="440" w:lineRule="exact"/>
              <w:rPr>
                <w:rFonts w:hint="eastAsia" w:ascii="宋体" w:hAnsi="宋体" w:eastAsia="宋体" w:cs="宋体"/>
                <w:color w:val="auto"/>
                <w:szCs w:val="21"/>
              </w:rPr>
            </w:pPr>
            <w:r>
              <w:rPr>
                <w:rFonts w:hint="eastAsia" w:ascii="宋体" w:hAnsi="宋体" w:eastAsia="宋体" w:cs="宋体"/>
                <w:color w:val="auto"/>
                <w:szCs w:val="21"/>
              </w:rPr>
              <w:t>（1）响应文件提供的合格业绩数量多的</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人优先；</w:t>
            </w:r>
          </w:p>
          <w:p w14:paraId="3ABDEA7B">
            <w:pPr>
              <w:spacing w:line="440" w:lineRule="exact"/>
              <w:rPr>
                <w:color w:val="auto"/>
              </w:rPr>
            </w:pPr>
            <w:r>
              <w:rPr>
                <w:rFonts w:hint="eastAsia" w:ascii="宋体" w:hAnsi="宋体" w:eastAsia="宋体" w:cs="宋体"/>
                <w:color w:val="auto"/>
                <w:szCs w:val="21"/>
              </w:rPr>
              <w:t>（2）递交响应文件时间早的</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人优先。</w:t>
            </w:r>
          </w:p>
        </w:tc>
      </w:tr>
      <w:tr w14:paraId="32E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038E798E">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条款号</w:t>
            </w:r>
          </w:p>
        </w:tc>
        <w:tc>
          <w:tcPr>
            <w:tcW w:w="1791" w:type="dxa"/>
            <w:gridSpan w:val="2"/>
            <w:vAlign w:val="center"/>
          </w:tcPr>
          <w:p w14:paraId="0BD9FAA1">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评审因素</w:t>
            </w:r>
          </w:p>
        </w:tc>
        <w:tc>
          <w:tcPr>
            <w:tcW w:w="5659" w:type="dxa"/>
            <w:vAlign w:val="center"/>
          </w:tcPr>
          <w:p w14:paraId="4470B540">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评审标准</w:t>
            </w:r>
          </w:p>
        </w:tc>
      </w:tr>
      <w:tr w14:paraId="0388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43339881">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2.1.1</w:t>
            </w:r>
          </w:p>
        </w:tc>
        <w:tc>
          <w:tcPr>
            <w:tcW w:w="1064" w:type="dxa"/>
            <w:vMerge w:val="restart"/>
            <w:vAlign w:val="center"/>
          </w:tcPr>
          <w:p w14:paraId="2D6E5ACA">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形式评审标准</w:t>
            </w:r>
          </w:p>
        </w:tc>
        <w:tc>
          <w:tcPr>
            <w:tcW w:w="1791" w:type="dxa"/>
            <w:gridSpan w:val="2"/>
            <w:tcMar>
              <w:left w:w="75" w:type="dxa"/>
            </w:tcMar>
            <w:vAlign w:val="center"/>
          </w:tcPr>
          <w:p w14:paraId="7D9DCD9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供应商名称</w:t>
            </w:r>
          </w:p>
        </w:tc>
        <w:tc>
          <w:tcPr>
            <w:tcW w:w="5659" w:type="dxa"/>
            <w:tcMar>
              <w:left w:w="75" w:type="dxa"/>
            </w:tcMar>
            <w:vAlign w:val="center"/>
          </w:tcPr>
          <w:p w14:paraId="29E64F97">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与营业执照、资质证书（如有）一致</w:t>
            </w:r>
          </w:p>
        </w:tc>
      </w:tr>
      <w:tr w14:paraId="16CF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5688FBA">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675E7F4D">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2F4697AC">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659" w:type="dxa"/>
            <w:tcMar>
              <w:left w:w="75" w:type="dxa"/>
            </w:tcMar>
            <w:vAlign w:val="center"/>
          </w:tcPr>
          <w:p w14:paraId="42356E2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符合第六章“响应文件格式”的规定，关键字迹清晰可辨</w:t>
            </w:r>
          </w:p>
        </w:tc>
      </w:tr>
      <w:tr w14:paraId="2F1A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F62DB4A">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2E835889">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FE8518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签名、盖章、装订</w:t>
            </w:r>
          </w:p>
        </w:tc>
        <w:tc>
          <w:tcPr>
            <w:tcW w:w="5659" w:type="dxa"/>
            <w:tcMar>
              <w:left w:w="75" w:type="dxa"/>
            </w:tcMar>
            <w:vAlign w:val="center"/>
          </w:tcPr>
          <w:p w14:paraId="0E8C1550">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符合第二章“供应商须知”规定</w:t>
            </w:r>
          </w:p>
        </w:tc>
      </w:tr>
      <w:tr w14:paraId="083D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FB17053">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0065780">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0CD0151">
            <w:pPr>
              <w:widowControl/>
              <w:adjustRightInd w:val="0"/>
              <w:snapToGrid w:val="0"/>
              <w:spacing w:line="360" w:lineRule="atLeast"/>
              <w:jc w:val="left"/>
              <w:rPr>
                <w:rFonts w:hint="default" w:ascii="宋体" w:hAnsi="宋体" w:eastAsia="宋体" w:cs="宋体"/>
                <w:color w:val="auto"/>
                <w:kern w:val="0"/>
                <w:szCs w:val="21"/>
                <w:highlight w:val="yellow"/>
                <w:lang w:val="en-US" w:eastAsia="zh-CN"/>
              </w:rPr>
            </w:pPr>
            <w:r>
              <w:rPr>
                <w:rFonts w:hint="eastAsia" w:ascii="宋体" w:hAnsi="宋体" w:eastAsia="宋体" w:cs="宋体"/>
                <w:color w:val="auto"/>
                <w:kern w:val="0"/>
                <w:szCs w:val="21"/>
                <w:highlight w:val="yellow"/>
                <w:lang w:val="en-US" w:eastAsia="zh-CN"/>
              </w:rPr>
              <w:t>电子版响应文件</w:t>
            </w:r>
          </w:p>
        </w:tc>
        <w:tc>
          <w:tcPr>
            <w:tcW w:w="5659" w:type="dxa"/>
            <w:tcMar>
              <w:left w:w="75" w:type="dxa"/>
            </w:tcMar>
            <w:vAlign w:val="center"/>
          </w:tcPr>
          <w:p w14:paraId="173F75FB">
            <w:pPr>
              <w:widowControl/>
              <w:adjustRightInd w:val="0"/>
              <w:snapToGrid w:val="0"/>
              <w:spacing w:line="360" w:lineRule="atLeast"/>
              <w:jc w:val="left"/>
              <w:rPr>
                <w:rFonts w:hint="default" w:ascii="宋体" w:hAnsi="宋体" w:eastAsia="宋体" w:cs="宋体"/>
                <w:bCs/>
                <w:color w:val="auto"/>
                <w:kern w:val="0"/>
                <w:szCs w:val="21"/>
                <w:highlight w:val="yellow"/>
                <w:lang w:val="en-US" w:eastAsia="zh-CN"/>
              </w:rPr>
            </w:pPr>
            <w:r>
              <w:rPr>
                <w:rFonts w:hint="eastAsia" w:ascii="宋体" w:hAnsi="宋体" w:eastAsia="宋体" w:cs="宋体"/>
                <w:bCs/>
                <w:color w:val="auto"/>
                <w:kern w:val="0"/>
                <w:szCs w:val="21"/>
                <w:highlight w:val="yellow"/>
              </w:rPr>
              <w:t>放置盖章版的响应文件扫描件（PDF版本）</w:t>
            </w:r>
            <w:r>
              <w:rPr>
                <w:rFonts w:hint="eastAsia" w:ascii="宋体" w:hAnsi="宋体" w:eastAsia="宋体" w:cs="宋体"/>
                <w:bCs/>
                <w:color w:val="auto"/>
                <w:kern w:val="0"/>
                <w:szCs w:val="21"/>
                <w:highlight w:val="yellow"/>
                <w:lang w:eastAsia="zh-CN"/>
              </w:rPr>
              <w:t>、</w:t>
            </w:r>
            <w:r>
              <w:rPr>
                <w:rFonts w:hint="eastAsia" w:ascii="宋体" w:hAnsi="宋体" w:eastAsia="宋体" w:cs="宋体"/>
                <w:bCs/>
                <w:color w:val="auto"/>
                <w:kern w:val="0"/>
                <w:szCs w:val="21"/>
                <w:highlight w:val="yellow"/>
                <w:lang w:val="en-US" w:eastAsia="zh-CN"/>
              </w:rPr>
              <w:t>放置电子版报价清单（EXCEL版）</w:t>
            </w:r>
          </w:p>
        </w:tc>
      </w:tr>
      <w:tr w14:paraId="3BD6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4D07940">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3B4532FD">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8C1E0E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659" w:type="dxa"/>
            <w:tcMar>
              <w:left w:w="75" w:type="dxa"/>
            </w:tcMar>
            <w:vAlign w:val="center"/>
          </w:tcPr>
          <w:p w14:paraId="70DF2689">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符合第六章响应文件格式的规定</w:t>
            </w:r>
          </w:p>
        </w:tc>
      </w:tr>
      <w:tr w14:paraId="540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24FB4DD4">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2.1.2</w:t>
            </w:r>
          </w:p>
        </w:tc>
        <w:tc>
          <w:tcPr>
            <w:tcW w:w="1064" w:type="dxa"/>
            <w:vAlign w:val="center"/>
          </w:tcPr>
          <w:p w14:paraId="57E58C17">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资格评审标准</w:t>
            </w:r>
          </w:p>
        </w:tc>
        <w:tc>
          <w:tcPr>
            <w:tcW w:w="1791" w:type="dxa"/>
            <w:gridSpan w:val="2"/>
            <w:tcMar>
              <w:left w:w="75" w:type="dxa"/>
            </w:tcMar>
            <w:vAlign w:val="center"/>
          </w:tcPr>
          <w:p w14:paraId="1C3C3289">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资质条件、能力、信誉</w:t>
            </w:r>
          </w:p>
        </w:tc>
        <w:tc>
          <w:tcPr>
            <w:tcW w:w="5659" w:type="dxa"/>
            <w:tcMar>
              <w:left w:w="75" w:type="dxa"/>
            </w:tcMar>
            <w:vAlign w:val="center"/>
          </w:tcPr>
          <w:p w14:paraId="4C6B85FD">
            <w:pPr>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4CBA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231A5090">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2.1.3</w:t>
            </w:r>
          </w:p>
        </w:tc>
        <w:tc>
          <w:tcPr>
            <w:tcW w:w="1064" w:type="dxa"/>
            <w:vMerge w:val="restart"/>
            <w:vAlign w:val="center"/>
          </w:tcPr>
          <w:p w14:paraId="43915671">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响应性评审标准</w:t>
            </w:r>
          </w:p>
        </w:tc>
        <w:tc>
          <w:tcPr>
            <w:tcW w:w="1791" w:type="dxa"/>
            <w:gridSpan w:val="2"/>
            <w:tcMar>
              <w:left w:w="75" w:type="dxa"/>
            </w:tcMar>
            <w:vAlign w:val="center"/>
          </w:tcPr>
          <w:p w14:paraId="39ADF46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内容</w:t>
            </w:r>
          </w:p>
        </w:tc>
        <w:tc>
          <w:tcPr>
            <w:tcW w:w="5659" w:type="dxa"/>
            <w:tcMar>
              <w:left w:w="75" w:type="dxa"/>
            </w:tcMar>
            <w:vAlign w:val="center"/>
          </w:tcPr>
          <w:p w14:paraId="61852A71">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5337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B401BF9">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57DDEB3">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48D53831">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交货期</w:t>
            </w:r>
          </w:p>
        </w:tc>
        <w:tc>
          <w:tcPr>
            <w:tcW w:w="5659" w:type="dxa"/>
            <w:tcMar>
              <w:left w:w="75" w:type="dxa"/>
            </w:tcMar>
            <w:vAlign w:val="center"/>
          </w:tcPr>
          <w:p w14:paraId="36D98E5C">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4336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9EFC1C1">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4DE8C894">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663A9D5">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质量要求</w:t>
            </w:r>
          </w:p>
        </w:tc>
        <w:tc>
          <w:tcPr>
            <w:tcW w:w="5659" w:type="dxa"/>
            <w:tcMar>
              <w:left w:w="75" w:type="dxa"/>
            </w:tcMar>
            <w:vAlign w:val="center"/>
          </w:tcPr>
          <w:p w14:paraId="687748F0">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287D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A2081E4">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1C23ABB9">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1F7F8BE9">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响应有效期</w:t>
            </w:r>
          </w:p>
        </w:tc>
        <w:tc>
          <w:tcPr>
            <w:tcW w:w="5659" w:type="dxa"/>
            <w:tcMar>
              <w:left w:w="75" w:type="dxa"/>
            </w:tcMar>
            <w:vAlign w:val="center"/>
          </w:tcPr>
          <w:p w14:paraId="7B2729DB">
            <w:pPr>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67C0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7ED9EA0">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71EB47AC">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A2992E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响应保证金</w:t>
            </w:r>
          </w:p>
        </w:tc>
        <w:tc>
          <w:tcPr>
            <w:tcW w:w="5659" w:type="dxa"/>
            <w:tcMar>
              <w:left w:w="75" w:type="dxa"/>
            </w:tcMar>
            <w:vAlign w:val="center"/>
          </w:tcPr>
          <w:p w14:paraId="57F4DC9D">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175E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9EA012C">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13BD57F">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6F7A1AD0">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14:paraId="3A6387D0">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未以联合体形式报价</w:t>
            </w:r>
          </w:p>
        </w:tc>
      </w:tr>
      <w:tr w14:paraId="255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DE499E3">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15F0582F">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4073B7D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bCs/>
                <w:color w:val="auto"/>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14:paraId="325FEEB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没有分包</w:t>
            </w:r>
          </w:p>
        </w:tc>
      </w:tr>
      <w:tr w14:paraId="721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95647CD">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E0D6016">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322BF2F3">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color w:val="auto"/>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14:paraId="5B142EA4">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（1）报价未超过询比文件设定的最高限价。</w:t>
            </w:r>
          </w:p>
          <w:p w14:paraId="304E25AB">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（2）已标价的报价清单总报价和报价函的报价一致（四舍五入除外）。</w:t>
            </w:r>
          </w:p>
          <w:p w14:paraId="4107CDAA">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（3）报价的大写数值能确定具体数值，未出现数量级错误、报价金额单位错误。</w:t>
            </w:r>
          </w:p>
          <w:p w14:paraId="6369C39B">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（4）同一供应商未递交两个以上不同的报价。</w:t>
            </w:r>
          </w:p>
          <w:p w14:paraId="6B81EAC5">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（5）供应商按采购人提供的书面报价清单填写了报价，且未修改报价清单说明、数量等实质性内容。</w:t>
            </w:r>
          </w:p>
        </w:tc>
      </w:tr>
      <w:tr w14:paraId="4FD5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16B2A55">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7743D245">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FE6A7A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其他实质性要求</w:t>
            </w:r>
          </w:p>
        </w:tc>
        <w:tc>
          <w:tcPr>
            <w:tcW w:w="5659" w:type="dxa"/>
            <w:tcMar>
              <w:left w:w="75" w:type="dxa"/>
            </w:tcMar>
            <w:vAlign w:val="center"/>
          </w:tcPr>
          <w:p w14:paraId="4EB9FAB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符合询比文件的其他实质性要求和条件。</w:t>
            </w:r>
          </w:p>
        </w:tc>
      </w:tr>
      <w:tr w14:paraId="3B4E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vAlign w:val="center"/>
          </w:tcPr>
          <w:p w14:paraId="43E4CB0E">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b/>
                <w:bCs/>
                <w:color w:val="auto"/>
                <w:szCs w:val="21"/>
              </w:rPr>
              <w:t>响应文件不符合以上条件之一的，对该响应文件作否决其响应处理。</w:t>
            </w:r>
          </w:p>
        </w:tc>
      </w:tr>
    </w:tbl>
    <w:p w14:paraId="53747522">
      <w:pPr>
        <w:widowControl/>
        <w:spacing w:line="360" w:lineRule="atLeast"/>
        <w:jc w:val="center"/>
        <w:rPr>
          <w:rFonts w:ascii="Times New Roman" w:hAnsi="Times New Roman" w:cs="Times New Roman"/>
          <w:color w:val="auto"/>
        </w:rPr>
      </w:pPr>
    </w:p>
    <w:p w14:paraId="121D7049">
      <w:pPr>
        <w:keepNext/>
        <w:keepLines/>
        <w:spacing w:line="400" w:lineRule="exact"/>
        <w:rPr>
          <w:color w:val="auto"/>
        </w:rPr>
      </w:pPr>
      <w:r>
        <w:rPr>
          <w:rFonts w:hint="eastAsia" w:ascii="宋体" w:hAnsi="宋体" w:eastAsia="宋体" w:cs="宋体"/>
          <w:b/>
          <w:bCs/>
          <w:color w:val="auto"/>
          <w:kern w:val="0"/>
          <w:sz w:val="28"/>
          <w:szCs w:val="28"/>
        </w:rPr>
        <w:t>前附表</w:t>
      </w:r>
      <w:r>
        <w:rPr>
          <w:rFonts w:hint="eastAsia" w:ascii="宋体" w:hAnsi="宋体" w:eastAsia="宋体" w:cs="宋体"/>
          <w:b/>
          <w:bCs/>
          <w:color w:val="auto"/>
          <w:kern w:val="0"/>
          <w:sz w:val="28"/>
          <w:szCs w:val="28"/>
          <w:lang w:val="en-US" w:eastAsia="zh-CN"/>
        </w:rPr>
        <w:t>B</w:t>
      </w: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6DB1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14:paraId="67BA606F">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741275C9">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033D9CB4">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量化标准</w:t>
            </w:r>
          </w:p>
        </w:tc>
      </w:tr>
      <w:tr w14:paraId="17A4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14:paraId="491AFDC5">
            <w:pPr>
              <w:spacing w:line="360" w:lineRule="atLeast"/>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color w:val="auto"/>
                <w:szCs w:val="21"/>
                <w:lang w:val="en-US" w:eastAsia="zh-CN"/>
              </w:rPr>
              <w:t>3.1</w:t>
            </w:r>
          </w:p>
        </w:tc>
        <w:tc>
          <w:tcPr>
            <w:tcW w:w="1605" w:type="dxa"/>
            <w:tcBorders>
              <w:top w:val="single" w:color="auto" w:sz="4" w:space="0"/>
              <w:bottom w:val="single" w:color="auto" w:sz="4" w:space="0"/>
              <w:right w:val="single" w:color="auto" w:sz="4" w:space="0"/>
            </w:tcBorders>
            <w:vAlign w:val="center"/>
          </w:tcPr>
          <w:p w14:paraId="2B864243">
            <w:pPr>
              <w:spacing w:line="360" w:lineRule="atLeast"/>
              <w:jc w:val="center"/>
              <w:rPr>
                <w:rFonts w:ascii="Times New Roman" w:hAnsi="Times New Roman" w:cs="Times New Roman"/>
                <w:color w:val="auto"/>
                <w:szCs w:val="21"/>
              </w:rPr>
            </w:pPr>
            <w:r>
              <w:rPr>
                <w:rFonts w:ascii="Times New Roman" w:hAnsi="Times New Roman" w:cs="Times New Roman"/>
                <w:color w:val="auto"/>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58A8DA0E">
            <w:pPr>
              <w:spacing w:line="360" w:lineRule="atLeast"/>
              <w:jc w:val="center"/>
              <w:rPr>
                <w:rFonts w:ascii="Times New Roman" w:hAnsi="Times New Roman" w:cs="Times New Roman"/>
                <w:color w:val="auto"/>
                <w:szCs w:val="21"/>
              </w:rPr>
            </w:pPr>
            <w:r>
              <w:rPr>
                <w:rFonts w:ascii="Times New Roman" w:hAnsi="Times New Roman" w:cs="Times New Roman"/>
                <w:color w:val="auto"/>
                <w:szCs w:val="21"/>
              </w:rPr>
              <w:t>评审价计算</w:t>
            </w:r>
          </w:p>
        </w:tc>
        <w:tc>
          <w:tcPr>
            <w:tcW w:w="5299" w:type="dxa"/>
            <w:tcBorders>
              <w:top w:val="single" w:color="auto" w:sz="4" w:space="0"/>
              <w:left w:val="single" w:color="auto" w:sz="4" w:space="0"/>
              <w:bottom w:val="single" w:color="auto" w:sz="4" w:space="0"/>
              <w:right w:val="single" w:color="auto" w:sz="4" w:space="0"/>
            </w:tcBorders>
          </w:tcPr>
          <w:p w14:paraId="60C2437E">
            <w:pPr>
              <w:spacing w:line="360" w:lineRule="auto"/>
              <w:rPr>
                <w:rFonts w:ascii="Times New Roman" w:hAnsi="Times New Roman" w:eastAsia="仿宋_GB2312" w:cs="Times New Roman"/>
                <w:color w:val="auto"/>
                <w:sz w:val="32"/>
                <w:szCs w:val="32"/>
              </w:rPr>
            </w:pPr>
            <w:r>
              <w:rPr>
                <w:rFonts w:ascii="Times New Roman" w:hAnsi="Times New Roman" w:cs="Times New Roman"/>
                <w:color w:val="auto"/>
                <w:kern w:val="0"/>
                <w:szCs w:val="21"/>
              </w:rPr>
              <w:t>评审价＝</w:t>
            </w:r>
            <w:r>
              <w:rPr>
                <w:rFonts w:hint="eastAsia" w:ascii="Times New Roman" w:hAnsi="Times New Roman" w:cs="Times New Roman"/>
                <w:color w:val="auto"/>
                <w:kern w:val="0"/>
                <w:szCs w:val="21"/>
              </w:rPr>
              <w:t>修正后的报价</w:t>
            </w:r>
          </w:p>
        </w:tc>
      </w:tr>
      <w:tr w14:paraId="3FBDF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14:paraId="11924759">
            <w:pPr>
              <w:spacing w:line="360" w:lineRule="atLeast"/>
              <w:rPr>
                <w:rFonts w:ascii="Times New Roman" w:hAnsi="Times New Roman" w:cs="Times New Roman"/>
                <w:color w:val="auto"/>
                <w:szCs w:val="21"/>
              </w:rPr>
            </w:pPr>
            <w:r>
              <w:rPr>
                <w:rFonts w:ascii="Times New Roman" w:hAnsi="Times New Roman" w:cs="Times New Roman"/>
                <w:color w:val="auto"/>
                <w:szCs w:val="21"/>
              </w:rPr>
              <w:t>需要补充的其他内容：</w:t>
            </w:r>
          </w:p>
          <w:p w14:paraId="33C7EEF5">
            <w:pPr>
              <w:spacing w:before="50" w:after="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一、合作单位的选择及成交原则</w:t>
            </w:r>
          </w:p>
          <w:p w14:paraId="18270DBD">
            <w:pPr>
              <w:spacing w:before="50" w:after="50"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1、本次采购活动将采用</w:t>
            </w:r>
            <w:r>
              <w:rPr>
                <w:rFonts w:hint="eastAsia" w:ascii="宋体" w:hAnsi="宋体" w:eastAsia="宋体" w:cs="宋体"/>
                <w:b/>
                <w:bCs/>
                <w:color w:val="auto"/>
                <w:szCs w:val="21"/>
              </w:rPr>
              <w:t>最低价法</w:t>
            </w:r>
            <w:r>
              <w:rPr>
                <w:rFonts w:hint="eastAsia" w:ascii="宋体" w:hAnsi="宋体" w:eastAsia="宋体" w:cs="宋体"/>
                <w:color w:val="auto"/>
                <w:szCs w:val="21"/>
              </w:rPr>
              <w:t>进行评审。</w:t>
            </w:r>
          </w:p>
          <w:p w14:paraId="2D46D23E">
            <w:pPr>
              <w:spacing w:before="50" w:after="50" w:line="24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最低价法</w:t>
            </w:r>
            <w:r>
              <w:rPr>
                <w:rFonts w:hint="eastAsia" w:ascii="宋体" w:hAnsi="宋体" w:eastAsia="宋体" w:cs="宋体"/>
                <w:color w:val="auto"/>
                <w:szCs w:val="21"/>
              </w:rPr>
              <w:t>：以价格为主要因素确定成交人，即在全部满足前附表要求（资格评审和响应性评审）前提下，根据各家报价由低到高的顺序，依次推荐三名</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w:t>
            </w:r>
          </w:p>
          <w:p w14:paraId="10FC7269">
            <w:pPr>
              <w:numPr>
                <w:ilvl w:val="0"/>
                <w:numId w:val="3"/>
              </w:numPr>
              <w:spacing w:before="50" w:after="50" w:line="240" w:lineRule="auto"/>
              <w:ind w:firstLine="420" w:firstLineChars="200"/>
              <w:rPr>
                <w:rFonts w:ascii="Times New Roman" w:hAnsi="Times New Roman" w:cs="Times New Roman"/>
                <w:color w:val="auto"/>
                <w:szCs w:val="21"/>
                <w:highlight w:val="none"/>
              </w:rPr>
            </w:pPr>
            <w:r>
              <w:rPr>
                <w:rFonts w:hint="eastAsia" w:ascii="宋体" w:hAnsi="宋体" w:eastAsia="宋体" w:cs="宋体"/>
                <w:color w:val="auto"/>
                <w:szCs w:val="21"/>
                <w:highlight w:val="none"/>
              </w:rPr>
              <w:t>评审委员会应按照组合价最低原则确定成交人。</w:t>
            </w:r>
          </w:p>
          <w:p w14:paraId="18645EFF">
            <w:pPr>
              <w:widowControl/>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bidi="ar"/>
              </w:rPr>
              <w:t>3、</w:t>
            </w:r>
            <w:r>
              <w:rPr>
                <w:rFonts w:hint="eastAsia" w:ascii="宋体" w:hAnsi="宋体" w:cs="宋体"/>
                <w:b/>
                <w:color w:val="auto"/>
                <w:kern w:val="0"/>
                <w:sz w:val="22"/>
                <w:szCs w:val="22"/>
                <w:highlight w:val="none"/>
                <w:lang w:bidi="ar"/>
              </w:rPr>
              <w:t>异常低价评审</w:t>
            </w:r>
            <w:r>
              <w:rPr>
                <w:rFonts w:hint="eastAsia" w:ascii="宋体" w:hAnsi="宋体" w:cs="宋体"/>
                <w:color w:val="auto"/>
                <w:kern w:val="0"/>
                <w:sz w:val="22"/>
                <w:szCs w:val="22"/>
                <w:highlight w:val="none"/>
                <w:lang w:bidi="ar"/>
              </w:rPr>
              <w:t xml:space="preserve">： </w:t>
            </w:r>
          </w:p>
          <w:p w14:paraId="3C904D3F">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如</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人的评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价低于评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价平均值的90%时，采购人可以在评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现场要求该</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人作出情况说明并提供相应降低工程造价的相关证明材料，参照附表1异常低价承诺书；同时提供关于合同履行能力及工程质量安全控制能力的承诺（此部分内容的响应人回复时间限时为60分钟，逾期不回复视同</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人放弃澄清、说明或补正内容的权利，采购人可按对</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人不利的解释进行判定。）</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人不能合理说明或者不能提供相应证明材料的，采购人应认定该</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人以低于成本报价，并否决其</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 </w:t>
            </w:r>
          </w:p>
          <w:p w14:paraId="43824D9B">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 xml:space="preserve">注： </w:t>
            </w:r>
          </w:p>
          <w:p w14:paraId="046CE2C7">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1)针对异常低价承诺书请</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人合理考虑时间，可提前准备好降低工程造价的相关证明材料，</w:t>
            </w:r>
            <w:r>
              <w:rPr>
                <w:rFonts w:hint="eastAsia" w:ascii="宋体" w:hAnsi="宋体" w:eastAsia="宋体" w:cs="宋体"/>
                <w:color w:val="auto"/>
                <w:sz w:val="21"/>
                <w:szCs w:val="21"/>
                <w:highlight w:val="none"/>
                <w:lang w:val="en-US" w:eastAsia="zh-CN"/>
              </w:rPr>
              <w:t>以避免错过要求澄清时间</w:t>
            </w:r>
            <w:r>
              <w:rPr>
                <w:rFonts w:hint="eastAsia" w:ascii="宋体" w:hAnsi="宋体" w:cs="宋体"/>
                <w:color w:val="auto"/>
                <w:kern w:val="0"/>
                <w:sz w:val="22"/>
                <w:szCs w:val="22"/>
                <w:highlight w:val="none"/>
                <w:lang w:bidi="ar"/>
              </w:rPr>
              <w:t>，造成的不良后果由</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人自行承担。 </w:t>
            </w:r>
          </w:p>
          <w:p w14:paraId="3FE2EDCE">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2)以下情形不得作为</w:t>
            </w:r>
            <w:r>
              <w:rPr>
                <w:rFonts w:hint="eastAsia" w:ascii="宋体" w:hAnsi="宋体" w:eastAsia="宋体" w:cs="宋体"/>
                <w:color w:val="auto"/>
                <w:sz w:val="21"/>
                <w:szCs w:val="21"/>
                <w:highlight w:val="none"/>
                <w:lang w:val="en-US" w:eastAsia="zh-CN"/>
              </w:rPr>
              <w:t>要求澄清</w:t>
            </w:r>
            <w:r>
              <w:rPr>
                <w:rFonts w:hint="eastAsia" w:ascii="宋体" w:hAnsi="宋体" w:cs="宋体"/>
                <w:color w:val="auto"/>
                <w:kern w:val="0"/>
                <w:sz w:val="22"/>
                <w:szCs w:val="22"/>
                <w:highlight w:val="none"/>
                <w:lang w:bidi="ar"/>
              </w:rPr>
              <w:t>或报价文件中提供异常低价</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报价依据的情形。 </w:t>
            </w:r>
          </w:p>
          <w:p w14:paraId="2219BE8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eastAsia="宋体" w:cs="宋体"/>
                <w:color w:val="auto"/>
                <w:szCs w:val="21"/>
              </w:rPr>
            </w:pP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风险评估评审：采购人对通过评审的异常低价</w:t>
            </w:r>
            <w:r>
              <w:rPr>
                <w:rFonts w:hint="eastAsia" w:ascii="宋体" w:hAnsi="宋体" w:cs="宋体"/>
                <w:color w:val="auto"/>
                <w:kern w:val="0"/>
                <w:sz w:val="22"/>
                <w:szCs w:val="22"/>
                <w:highlight w:val="none"/>
                <w:lang w:val="en-US" w:eastAsia="zh-CN" w:bidi="ar"/>
              </w:rPr>
              <w:t>成交</w:t>
            </w:r>
            <w:r>
              <w:rPr>
                <w:rFonts w:hint="eastAsia" w:ascii="宋体" w:hAnsi="宋体" w:cs="宋体"/>
                <w:color w:val="auto"/>
                <w:kern w:val="0"/>
                <w:sz w:val="22"/>
                <w:szCs w:val="22"/>
                <w:highlight w:val="none"/>
                <w:lang w:bidi="ar"/>
              </w:rPr>
              <w:t>候选人合同履行能力及工程质量安全等风险进行全面评估，并作为评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结果的附件提交给</w:t>
            </w:r>
            <w:r>
              <w:rPr>
                <w:rFonts w:hint="eastAsia" w:ascii="宋体" w:hAnsi="宋体" w:cs="宋体"/>
                <w:color w:val="auto"/>
                <w:kern w:val="0"/>
                <w:sz w:val="22"/>
                <w:szCs w:val="22"/>
                <w:highlight w:val="none"/>
                <w:lang w:val="en-US" w:eastAsia="zh-CN" w:bidi="ar"/>
              </w:rPr>
              <w:t>采购</w:t>
            </w:r>
            <w:r>
              <w:rPr>
                <w:rFonts w:hint="eastAsia" w:ascii="宋体" w:hAnsi="宋体" w:cs="宋体"/>
                <w:color w:val="auto"/>
                <w:kern w:val="0"/>
                <w:sz w:val="22"/>
                <w:szCs w:val="22"/>
                <w:highlight w:val="none"/>
                <w:lang w:bidi="ar"/>
              </w:rPr>
              <w:t>人。</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人在</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文件中不能作出有效澄清、说明或采购人认定（按少数服从多数的原则）其存在履约及质量安全风险的，采购人应否决其</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w:t>
            </w:r>
          </w:p>
        </w:tc>
      </w:tr>
    </w:tbl>
    <w:p w14:paraId="74BF32FC">
      <w:pPr>
        <w:pStyle w:val="7"/>
        <w:rPr>
          <w:color w:val="auto"/>
        </w:rPr>
      </w:pPr>
    </w:p>
    <w:p w14:paraId="6613F65D">
      <w:pPr>
        <w:pStyle w:val="7"/>
        <w:rPr>
          <w:color w:val="auto"/>
        </w:rPr>
      </w:pPr>
    </w:p>
    <w:p w14:paraId="3D94BD1A">
      <w:pPr>
        <w:widowControl/>
        <w:spacing w:beforeLines="0" w:afterLines="0"/>
        <w:jc w:val="left"/>
        <w:rPr>
          <w:rFonts w:hint="default"/>
          <w:color w:val="auto"/>
          <w:sz w:val="21"/>
          <w:szCs w:val="24"/>
        </w:rPr>
      </w:pPr>
      <w:r>
        <w:rPr>
          <w:rFonts w:hint="eastAsia" w:ascii="黑体" w:hAnsi="黑体" w:eastAsia="黑体" w:cs="黑体"/>
          <w:b/>
          <w:color w:val="auto"/>
          <w:kern w:val="0"/>
          <w:sz w:val="28"/>
          <w:szCs w:val="28"/>
          <w:lang w:bidi="ar"/>
        </w:rPr>
        <w:t>附表 1：</w:t>
      </w:r>
      <w:r>
        <w:rPr>
          <w:rFonts w:hint="eastAsia" w:ascii="宋体" w:hAnsi="宋体" w:cs="宋体"/>
          <w:b/>
          <w:color w:val="auto"/>
          <w:kern w:val="0"/>
          <w:sz w:val="22"/>
          <w:szCs w:val="22"/>
          <w:lang w:bidi="ar"/>
        </w:rPr>
        <w:t xml:space="preserve"> </w:t>
      </w:r>
    </w:p>
    <w:p w14:paraId="5D7D4303">
      <w:pPr>
        <w:widowControl/>
        <w:spacing w:beforeLines="0" w:afterLines="0"/>
        <w:jc w:val="center"/>
        <w:rPr>
          <w:rFonts w:hint="eastAsia" w:ascii="宋体" w:hAnsi="宋体" w:cs="宋体"/>
          <w:color w:val="auto"/>
          <w:kern w:val="0"/>
          <w:sz w:val="30"/>
          <w:szCs w:val="30"/>
          <w:highlight w:val="none"/>
          <w:lang w:bidi="ar"/>
        </w:rPr>
      </w:pPr>
      <w:r>
        <w:rPr>
          <w:rFonts w:hint="eastAsia" w:ascii="宋体" w:hAnsi="宋体" w:cs="宋体"/>
          <w:color w:val="auto"/>
          <w:kern w:val="0"/>
          <w:sz w:val="30"/>
          <w:szCs w:val="30"/>
          <w:highlight w:val="none"/>
          <w:lang w:bidi="ar"/>
        </w:rPr>
        <w:t>异常低价承诺书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08A8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E156B">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7DEBC3BF">
            <w:pPr>
              <w:pStyle w:val="7"/>
              <w:spacing w:beforeLines="0" w:afterLines="0"/>
              <w:rPr>
                <w:rFonts w:hint="default"/>
                <w:color w:val="auto"/>
                <w:sz w:val="21"/>
                <w:szCs w:val="24"/>
                <w:highlight w:val="none"/>
              </w:rPr>
            </w:pPr>
          </w:p>
        </w:tc>
      </w:tr>
      <w:tr w14:paraId="753B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041A9">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566C94B6">
            <w:pPr>
              <w:pStyle w:val="7"/>
              <w:spacing w:beforeLines="0" w:afterLines="0"/>
              <w:rPr>
                <w:rFonts w:hint="default"/>
                <w:color w:val="auto"/>
                <w:sz w:val="21"/>
                <w:szCs w:val="24"/>
                <w:highlight w:val="none"/>
              </w:rPr>
            </w:pPr>
          </w:p>
        </w:tc>
      </w:tr>
      <w:tr w14:paraId="1663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8B7B1">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00A811D">
            <w:pPr>
              <w:pStyle w:val="7"/>
              <w:spacing w:beforeLines="0" w:afterLines="0"/>
              <w:rPr>
                <w:rFonts w:hint="default"/>
                <w:color w:val="auto"/>
                <w:sz w:val="21"/>
                <w:szCs w:val="24"/>
                <w:highlight w:val="none"/>
              </w:rPr>
            </w:pPr>
          </w:p>
        </w:tc>
      </w:tr>
      <w:tr w14:paraId="1002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615868">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4C562D85">
            <w:pPr>
              <w:pStyle w:val="7"/>
              <w:spacing w:beforeLines="0" w:afterLines="0"/>
              <w:rPr>
                <w:rFonts w:hint="default"/>
                <w:color w:val="auto"/>
                <w:sz w:val="21"/>
                <w:szCs w:val="24"/>
                <w:highlight w:val="none"/>
              </w:rPr>
            </w:pPr>
          </w:p>
        </w:tc>
      </w:tr>
      <w:tr w14:paraId="4BBD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1823D">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FB0C7">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1.</w:t>
            </w:r>
            <w:r>
              <w:rPr>
                <w:rFonts w:hint="eastAsia" w:ascii="宋体" w:hAnsi="宋体" w:cs="宋体"/>
                <w:color w:val="auto"/>
                <w:kern w:val="0"/>
                <w:sz w:val="22"/>
                <w:szCs w:val="22"/>
                <w:highlight w:val="none"/>
                <w:lang w:bidi="ar"/>
              </w:rPr>
              <w:t>我公司承诺本表提供的内容及相关资料均属实；</w:t>
            </w:r>
          </w:p>
          <w:p w14:paraId="15B08D22">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2.</w:t>
            </w:r>
            <w:r>
              <w:rPr>
                <w:rFonts w:hint="eastAsia" w:ascii="宋体" w:hAnsi="宋体" w:cs="宋体"/>
                <w:color w:val="auto"/>
                <w:kern w:val="0"/>
                <w:sz w:val="22"/>
                <w:szCs w:val="22"/>
                <w:highlight w:val="none"/>
                <w:lang w:bidi="ar"/>
              </w:rPr>
              <w:t>我公司承诺没有</w:t>
            </w:r>
            <w:r>
              <w:rPr>
                <w:rFonts w:hint="eastAsia" w:ascii="宋体" w:hAnsi="宋体" w:cs="宋体"/>
                <w:color w:val="auto"/>
                <w:kern w:val="0"/>
                <w:sz w:val="22"/>
                <w:szCs w:val="22"/>
                <w:highlight w:val="none"/>
                <w:lang w:val="en-US" w:eastAsia="zh-CN" w:bidi="ar"/>
              </w:rPr>
              <w:t>采购</w:t>
            </w:r>
            <w:r>
              <w:rPr>
                <w:rFonts w:hint="eastAsia" w:ascii="宋体" w:hAnsi="宋体" w:cs="宋体"/>
                <w:color w:val="auto"/>
                <w:kern w:val="0"/>
                <w:sz w:val="22"/>
                <w:szCs w:val="22"/>
                <w:highlight w:val="none"/>
                <w:lang w:bidi="ar"/>
              </w:rPr>
              <w:t>文件约定的降低</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报价的禁止情形；</w:t>
            </w:r>
          </w:p>
          <w:p w14:paraId="627073BA">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3.</w:t>
            </w:r>
            <w:r>
              <w:rPr>
                <w:rFonts w:hint="eastAsia" w:ascii="宋体" w:hAnsi="宋体" w:cs="宋体"/>
                <w:color w:val="auto"/>
                <w:kern w:val="0"/>
                <w:sz w:val="22"/>
                <w:szCs w:val="22"/>
                <w:highlight w:val="none"/>
                <w:lang w:bidi="ar"/>
              </w:rPr>
              <w:t>我公司承诺具备合同履行能力及工程质量安全控制能力。</w:t>
            </w:r>
          </w:p>
        </w:tc>
      </w:tr>
    </w:tbl>
    <w:p w14:paraId="3965A144">
      <w:pPr>
        <w:pStyle w:val="7"/>
        <w:spacing w:beforeLines="0" w:afterLines="0"/>
        <w:rPr>
          <w:rFonts w:hint="default"/>
          <w:color w:val="auto"/>
          <w:sz w:val="21"/>
          <w:szCs w:val="24"/>
          <w:highlight w:val="none"/>
        </w:rPr>
      </w:pPr>
    </w:p>
    <w:p w14:paraId="758D9198">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 xml:space="preserve">注： </w:t>
      </w:r>
    </w:p>
    <w:p w14:paraId="03F0CA60">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 xml:space="preserve">1.此表格后附异常低价评审的相关证明材料； </w:t>
      </w:r>
    </w:p>
    <w:p w14:paraId="786F1069">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人在制作</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文件时该页可放置在报价文件-其他的资料中，或在评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委员会发询标函时作为附件提供。</w:t>
      </w:r>
    </w:p>
    <w:p w14:paraId="6ECD24DF">
      <w:pPr>
        <w:jc w:val="left"/>
        <w:rPr>
          <w:rFonts w:ascii="Times New Roman" w:hAnsi="Times New Roman" w:eastAsia="黑体" w:cs="Times New Roman"/>
          <w:bCs/>
          <w:color w:val="auto"/>
          <w:sz w:val="24"/>
          <w:szCs w:val="32"/>
        </w:rPr>
      </w:pPr>
    </w:p>
    <w:p w14:paraId="1CB9FC75">
      <w:pPr>
        <w:jc w:val="left"/>
        <w:rPr>
          <w:rFonts w:ascii="Times New Roman" w:hAnsi="Times New Roman" w:eastAsia="黑体" w:cs="Times New Roman"/>
          <w:bCs/>
          <w:color w:val="auto"/>
          <w:sz w:val="24"/>
          <w:szCs w:val="32"/>
        </w:rPr>
      </w:pPr>
    </w:p>
    <w:p w14:paraId="44B7F61F">
      <w:pPr>
        <w:jc w:val="left"/>
        <w:rPr>
          <w:rFonts w:ascii="Times New Roman" w:hAnsi="Times New Roman" w:eastAsia="黑体" w:cs="Times New Roman"/>
          <w:bCs/>
          <w:color w:val="auto"/>
          <w:sz w:val="24"/>
          <w:szCs w:val="32"/>
        </w:rPr>
      </w:pPr>
    </w:p>
    <w:p w14:paraId="21EE2FC2">
      <w:pPr>
        <w:jc w:val="left"/>
        <w:rPr>
          <w:rFonts w:ascii="Times New Roman" w:hAnsi="Times New Roman" w:eastAsia="黑体" w:cs="Times New Roman"/>
          <w:bCs/>
          <w:color w:val="auto"/>
          <w:sz w:val="24"/>
          <w:szCs w:val="32"/>
        </w:rPr>
      </w:pPr>
    </w:p>
    <w:p w14:paraId="3F03030B">
      <w:pPr>
        <w:jc w:val="left"/>
        <w:rPr>
          <w:rFonts w:ascii="Times New Roman" w:hAnsi="Times New Roman" w:eastAsia="黑体" w:cs="Times New Roman"/>
          <w:bCs/>
          <w:color w:val="auto"/>
          <w:sz w:val="24"/>
          <w:szCs w:val="32"/>
        </w:rPr>
      </w:pPr>
    </w:p>
    <w:p w14:paraId="2ACF77CB">
      <w:pPr>
        <w:jc w:val="left"/>
        <w:rPr>
          <w:rFonts w:ascii="Times New Roman" w:hAnsi="Times New Roman" w:eastAsia="黑体" w:cs="Times New Roman"/>
          <w:bCs/>
          <w:color w:val="auto"/>
          <w:sz w:val="24"/>
          <w:szCs w:val="32"/>
        </w:rPr>
      </w:pPr>
    </w:p>
    <w:p w14:paraId="11C04EF0">
      <w:pPr>
        <w:jc w:val="left"/>
        <w:rPr>
          <w:rFonts w:ascii="Times New Roman" w:hAnsi="Times New Roman" w:eastAsia="黑体" w:cs="Times New Roman"/>
          <w:bCs/>
          <w:color w:val="auto"/>
          <w:sz w:val="24"/>
          <w:szCs w:val="32"/>
        </w:rPr>
      </w:pPr>
    </w:p>
    <w:p w14:paraId="34F6740B">
      <w:pPr>
        <w:jc w:val="left"/>
        <w:rPr>
          <w:rFonts w:ascii="Times New Roman" w:hAnsi="Times New Roman" w:eastAsia="黑体" w:cs="Times New Roman"/>
          <w:bCs/>
          <w:color w:val="auto"/>
          <w:sz w:val="24"/>
          <w:szCs w:val="32"/>
        </w:rPr>
      </w:pPr>
    </w:p>
    <w:p w14:paraId="33FF4DBF">
      <w:pPr>
        <w:jc w:val="left"/>
        <w:rPr>
          <w:rFonts w:ascii="Times New Roman" w:hAnsi="Times New Roman" w:eastAsia="黑体" w:cs="Times New Roman"/>
          <w:bCs/>
          <w:color w:val="auto"/>
          <w:sz w:val="24"/>
          <w:szCs w:val="32"/>
        </w:rPr>
      </w:pPr>
    </w:p>
    <w:p w14:paraId="0D1951E5">
      <w:pPr>
        <w:jc w:val="left"/>
        <w:rPr>
          <w:rFonts w:ascii="Times New Roman" w:hAnsi="Times New Roman" w:eastAsia="黑体" w:cs="Times New Roman"/>
          <w:bCs/>
          <w:color w:val="auto"/>
          <w:sz w:val="24"/>
          <w:szCs w:val="32"/>
        </w:rPr>
      </w:pPr>
    </w:p>
    <w:p w14:paraId="26DF41B3">
      <w:pPr>
        <w:jc w:val="left"/>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 评审方法</w:t>
      </w:r>
    </w:p>
    <w:p w14:paraId="1F4C6CAD">
      <w:pPr>
        <w:spacing w:line="440" w:lineRule="exact"/>
        <w:ind w:firstLine="420"/>
        <w:rPr>
          <w:rFonts w:ascii="Times New Roman" w:hAnsi="Times New Roman" w:cs="Times New Roman"/>
          <w:color w:val="auto"/>
        </w:rPr>
      </w:pPr>
      <w:r>
        <w:rPr>
          <w:rFonts w:hint="eastAsia" w:ascii="Times New Roman" w:hAnsi="Times New Roman" w:cs="Times New Roman"/>
          <w:color w:val="auto"/>
          <w:lang w:val="en-US" w:eastAsia="zh-CN"/>
        </w:rPr>
        <w:t>1.1</w:t>
      </w:r>
      <w:r>
        <w:rPr>
          <w:rFonts w:ascii="Times New Roman" w:hAnsi="Times New Roman" w:cs="Times New Roman"/>
          <w:color w:val="auto"/>
        </w:rPr>
        <w:t>本次评审采用</w:t>
      </w:r>
      <w:r>
        <w:rPr>
          <w:rFonts w:hint="eastAsia" w:ascii="Times New Roman" w:hAnsi="Times New Roman" w:cs="Times New Roman"/>
          <w:color w:val="auto"/>
        </w:rPr>
        <w:t>最低价法</w:t>
      </w:r>
      <w:r>
        <w:rPr>
          <w:rFonts w:ascii="Times New Roman" w:hAnsi="Times New Roman" w:cs="Times New Roman"/>
          <w:color w:val="auto"/>
        </w:rPr>
        <w:t>。</w:t>
      </w:r>
      <w:r>
        <w:rPr>
          <w:rFonts w:hint="eastAsia" w:ascii="Times New Roman" w:hAnsi="Times New Roman" w:cs="Times New Roman"/>
          <w:color w:val="auto"/>
        </w:rPr>
        <w:t>评审小组</w:t>
      </w:r>
      <w:r>
        <w:rPr>
          <w:rFonts w:ascii="Times New Roman" w:hAnsi="Times New Roman" w:cs="Times New Roman"/>
          <w:color w:val="auto"/>
        </w:rPr>
        <w:t>对满足询比文件实质性要求的响应文件</w:t>
      </w:r>
      <w:r>
        <w:rPr>
          <w:rFonts w:hint="eastAsia" w:ascii="Times New Roman" w:hAnsi="Times New Roman" w:cs="Times New Roman"/>
          <w:color w:val="auto"/>
        </w:rPr>
        <w:t>，</w:t>
      </w:r>
      <w:r>
        <w:rPr>
          <w:rFonts w:ascii="Times New Roman" w:hAnsi="Times New Roman" w:cs="Times New Roman"/>
          <w:color w:val="auto"/>
        </w:rPr>
        <w:t>按照</w:t>
      </w:r>
      <w:r>
        <w:rPr>
          <w:rFonts w:hint="eastAsia" w:ascii="Times New Roman" w:hAnsi="Times New Roman" w:cs="Times New Roman"/>
          <w:color w:val="auto"/>
        </w:rPr>
        <w:t>评审</w:t>
      </w:r>
      <w:r>
        <w:rPr>
          <w:rFonts w:ascii="Times New Roman" w:hAnsi="Times New Roman" w:cs="Times New Roman"/>
          <w:color w:val="auto"/>
        </w:rPr>
        <w:t>价由低到高的顺序依次推荐</w:t>
      </w:r>
      <w:r>
        <w:rPr>
          <w:rFonts w:hint="eastAsia" w:ascii="Times New Roman" w:hAnsi="Times New Roman" w:cs="Times New Roman"/>
          <w:color w:val="auto"/>
        </w:rPr>
        <w:t>成交候选人</w:t>
      </w:r>
      <w:r>
        <w:rPr>
          <w:rFonts w:ascii="Times New Roman" w:hAnsi="Times New Roman" w:cs="Times New Roman"/>
          <w:color w:val="auto"/>
        </w:rPr>
        <w:t>。如</w:t>
      </w:r>
      <w:r>
        <w:rPr>
          <w:rFonts w:hint="eastAsia" w:ascii="Times New Roman" w:hAnsi="Times New Roman" w:cs="Times New Roman"/>
          <w:color w:val="auto"/>
        </w:rPr>
        <w:t>报价</w:t>
      </w:r>
      <w:r>
        <w:rPr>
          <w:rFonts w:ascii="Times New Roman" w:hAnsi="Times New Roman" w:cs="Times New Roman"/>
          <w:color w:val="auto"/>
        </w:rPr>
        <w:t>相同的，按照</w:t>
      </w:r>
      <w:r>
        <w:rPr>
          <w:rFonts w:hint="eastAsia" w:ascii="Times New Roman" w:hAnsi="Times New Roman" w:cs="Times New Roman"/>
          <w:color w:val="auto"/>
        </w:rPr>
        <w:t>评审</w:t>
      </w:r>
      <w:r>
        <w:rPr>
          <w:rFonts w:ascii="Times New Roman" w:hAnsi="Times New Roman" w:cs="Times New Roman"/>
          <w:color w:val="auto"/>
        </w:rPr>
        <w:t>办法前附表中的规定确定</w:t>
      </w:r>
      <w:r>
        <w:rPr>
          <w:rFonts w:hint="eastAsia" w:ascii="Times New Roman" w:hAnsi="Times New Roman" w:cs="Times New Roman"/>
          <w:color w:val="auto"/>
        </w:rPr>
        <w:t>成交候选人</w:t>
      </w:r>
      <w:r>
        <w:rPr>
          <w:rFonts w:ascii="Times New Roman" w:hAnsi="Times New Roman" w:cs="Times New Roman"/>
          <w:color w:val="auto"/>
        </w:rPr>
        <w:t>顺序。</w:t>
      </w:r>
    </w:p>
    <w:p w14:paraId="280544FD">
      <w:pPr>
        <w:spacing w:line="440" w:lineRule="exact"/>
        <w:ind w:firstLine="420"/>
        <w:rPr>
          <w:rFonts w:hint="default" w:ascii="Times New Roman" w:hAnsi="Times New Roman" w:eastAsiaTheme="minorEastAsia"/>
          <w:color w:val="auto"/>
          <w:sz w:val="21"/>
          <w:szCs w:val="24"/>
          <w:highlight w:val="yellow"/>
          <w:lang w:val="en-US" w:eastAsia="zh-CN"/>
        </w:rPr>
      </w:pPr>
      <w:r>
        <w:rPr>
          <w:rFonts w:hint="eastAsia" w:ascii="Times New Roman" w:hAnsi="Times New Roman"/>
          <w:color w:val="auto"/>
          <w:sz w:val="21"/>
          <w:szCs w:val="24"/>
          <w:highlight w:val="yellow"/>
          <w:lang w:val="en-US" w:eastAsia="zh-CN"/>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3363BB73">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14:paraId="141B084A">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14:paraId="6C19CCBB">
      <w:pPr>
        <w:spacing w:line="440" w:lineRule="exact"/>
        <w:ind w:firstLine="420"/>
        <w:rPr>
          <w:rFonts w:ascii="Times New Roman" w:hAnsi="Times New Roman" w:cs="Times New Roman"/>
          <w:color w:val="auto"/>
        </w:rPr>
      </w:pPr>
      <w:r>
        <w:rPr>
          <w:rFonts w:ascii="Times New Roman" w:hAnsi="Times New Roman" w:cs="Times New Roman"/>
          <w:color w:val="auto"/>
        </w:rPr>
        <w:t>2.1.1 形式评审标准：见评审办法前附表。</w:t>
      </w:r>
    </w:p>
    <w:p w14:paraId="34D01792">
      <w:pPr>
        <w:spacing w:line="440" w:lineRule="exact"/>
        <w:ind w:firstLine="420"/>
        <w:rPr>
          <w:rFonts w:ascii="Times New Roman" w:hAnsi="Times New Roman" w:cs="Times New Roman"/>
          <w:color w:val="auto"/>
        </w:rPr>
      </w:pPr>
      <w:r>
        <w:rPr>
          <w:rFonts w:ascii="Times New Roman" w:hAnsi="Times New Roman" w:cs="Times New Roman"/>
          <w:color w:val="auto"/>
        </w:rPr>
        <w:t>2.1.2 资格评审标准：见评审办法前附表。</w:t>
      </w:r>
    </w:p>
    <w:p w14:paraId="2E251CC6">
      <w:pPr>
        <w:spacing w:line="440" w:lineRule="exact"/>
        <w:ind w:firstLine="420"/>
        <w:rPr>
          <w:rFonts w:ascii="Times New Roman" w:hAnsi="Times New Roman" w:cs="Times New Roman"/>
          <w:color w:val="auto"/>
        </w:rPr>
      </w:pPr>
      <w:r>
        <w:rPr>
          <w:rFonts w:ascii="Times New Roman" w:hAnsi="Times New Roman" w:cs="Times New Roman"/>
          <w:color w:val="auto"/>
        </w:rPr>
        <w:t>2.1.3 响应性评审标准：见评审办法前附表。</w:t>
      </w:r>
    </w:p>
    <w:p w14:paraId="2A209702">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14:paraId="3F4DE85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14:paraId="2AD634EF">
      <w:pPr>
        <w:spacing w:line="440" w:lineRule="exact"/>
        <w:ind w:firstLine="420"/>
        <w:rPr>
          <w:rFonts w:ascii="Times New Roman" w:hAnsi="Times New Roman" w:cs="Times New Roman"/>
          <w:color w:val="auto"/>
        </w:rPr>
      </w:pPr>
      <w:r>
        <w:rPr>
          <w:rFonts w:ascii="Times New Roman" w:hAnsi="Times New Roman" w:cs="Times New Roman"/>
          <w:color w:val="auto"/>
        </w:rPr>
        <w:t>3.1.1</w:t>
      </w:r>
      <w:r>
        <w:rPr>
          <w:rFonts w:hint="eastAsia" w:ascii="Times New Roman" w:hAnsi="Times New Roman" w:cs="Times New Roman"/>
          <w:color w:val="auto"/>
        </w:rPr>
        <w:t xml:space="preserve"> 评审小组</w:t>
      </w:r>
      <w:r>
        <w:rPr>
          <w:rFonts w:ascii="Times New Roman" w:hAnsi="Times New Roman" w:cs="Times New Roman"/>
          <w:color w:val="auto"/>
        </w:rPr>
        <w:t>依</w:t>
      </w:r>
      <w:r>
        <w:rPr>
          <w:rFonts w:ascii="Times New Roman" w:hAnsi="Times New Roman" w:cs="Times New Roman"/>
          <w:color w:val="auto"/>
          <w:highlight w:val="none"/>
        </w:rPr>
        <w:t>据本章第2.1.1项、第2.1.2项、第2.1.3项规</w:t>
      </w:r>
      <w:r>
        <w:rPr>
          <w:rFonts w:ascii="Times New Roman" w:hAnsi="Times New Roman" w:cs="Times New Roman"/>
          <w:color w:val="auto"/>
        </w:rPr>
        <w:t>定的标准对响应文件进行评审。有一项不符合评审标准的，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76B96F91">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2 </w:t>
      </w:r>
      <w:r>
        <w:rPr>
          <w:rFonts w:ascii="Times New Roman" w:hAnsi="Times New Roman" w:cs="Times New Roman"/>
          <w:color w:val="auto"/>
        </w:rPr>
        <w:t>响应文件中填报的报价、</w:t>
      </w:r>
      <w:r>
        <w:rPr>
          <w:rFonts w:hint="eastAsia" w:ascii="Times New Roman" w:hAnsi="Times New Roman" w:cs="Times New Roman"/>
          <w:color w:val="auto"/>
        </w:rPr>
        <w:t>交货期</w:t>
      </w:r>
      <w:r>
        <w:rPr>
          <w:rFonts w:ascii="Times New Roman" w:hAnsi="Times New Roman" w:cs="Times New Roman"/>
          <w:color w:val="auto"/>
        </w:rPr>
        <w:t>、质量标准前后不一致</w:t>
      </w:r>
      <w:r>
        <w:rPr>
          <w:rFonts w:hint="eastAsia" w:ascii="Times New Roman" w:hAnsi="Times New Roman" w:cs="Times New Roman"/>
          <w:color w:val="auto"/>
        </w:rPr>
        <w:t>，且报价函中填写的内容满足询比文件要求</w:t>
      </w:r>
      <w:r>
        <w:rPr>
          <w:rFonts w:ascii="Times New Roman" w:hAnsi="Times New Roman" w:cs="Times New Roman"/>
          <w:color w:val="auto"/>
        </w:rPr>
        <w:t>时，</w:t>
      </w:r>
      <w:r>
        <w:rPr>
          <w:rFonts w:hint="eastAsia" w:ascii="Times New Roman" w:hAnsi="Times New Roman" w:cs="Times New Roman"/>
          <w:color w:val="auto"/>
        </w:rPr>
        <w:t>按细微偏差处理，并</w:t>
      </w:r>
      <w:r>
        <w:rPr>
          <w:rFonts w:ascii="Times New Roman" w:hAnsi="Times New Roman" w:cs="Times New Roman"/>
          <w:color w:val="auto"/>
        </w:rPr>
        <w:t>以报价函填报的为准</w:t>
      </w:r>
      <w:r>
        <w:rPr>
          <w:rFonts w:hint="eastAsia" w:ascii="Times New Roman" w:hAnsi="Times New Roman" w:cs="Times New Roman"/>
          <w:color w:val="auto"/>
        </w:rPr>
        <w:t>。</w:t>
      </w:r>
    </w:p>
    <w:p w14:paraId="42F9F71A">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3.1.3 </w:t>
      </w:r>
      <w:r>
        <w:rPr>
          <w:rFonts w:ascii="Times New Roman" w:hAnsi="Times New Roman" w:cs="Times New Roman"/>
          <w:color w:val="auto"/>
        </w:rPr>
        <w:t>报价存在</w:t>
      </w:r>
      <w:r>
        <w:rPr>
          <w:rFonts w:hint="eastAsia" w:ascii="Times New Roman" w:hAnsi="Times New Roman" w:cs="Times New Roman"/>
          <w:color w:val="auto"/>
        </w:rPr>
        <w:t>以下</w:t>
      </w:r>
      <w:r>
        <w:rPr>
          <w:rFonts w:ascii="Times New Roman" w:hAnsi="Times New Roman" w:cs="Times New Roman"/>
          <w:color w:val="auto"/>
        </w:rPr>
        <w:t>细微偏差的，</w:t>
      </w:r>
      <w:r>
        <w:rPr>
          <w:rFonts w:hint="eastAsia" w:ascii="Times New Roman" w:hAnsi="Times New Roman" w:cs="Times New Roman"/>
          <w:color w:val="auto"/>
        </w:rPr>
        <w:t>评审小组</w:t>
      </w:r>
      <w:r>
        <w:rPr>
          <w:rFonts w:ascii="Times New Roman" w:hAnsi="Times New Roman" w:cs="Times New Roman"/>
          <w:color w:val="auto"/>
        </w:rPr>
        <w:t>按以上原则对报价进行处理，并要求供应商书面澄清确认，供应商拒不澄清确认的，</w:t>
      </w:r>
      <w:r>
        <w:rPr>
          <w:rFonts w:hint="eastAsia" w:ascii="Times New Roman" w:hAnsi="Times New Roman" w:cs="Times New Roman"/>
          <w:color w:val="auto"/>
        </w:rPr>
        <w:t>评审小组</w:t>
      </w:r>
      <w:r>
        <w:rPr>
          <w:rFonts w:ascii="Times New Roman" w:hAnsi="Times New Roman" w:cs="Times New Roman"/>
          <w:color w:val="auto"/>
        </w:rPr>
        <w:t>应当否决其报价。</w:t>
      </w:r>
    </w:p>
    <w:p w14:paraId="0A8969CE">
      <w:pPr>
        <w:spacing w:line="440" w:lineRule="exact"/>
        <w:ind w:firstLine="420"/>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报价有算术错误的，评审小组按以下原则对报价进行修正，修正的价格经供应商书面确认后具有约束力。供应商不接受修正价格的，评审小组应否决其报价。</w:t>
      </w:r>
    </w:p>
    <w:p w14:paraId="54ACB0A4">
      <w:pPr>
        <w:spacing w:line="440" w:lineRule="exact"/>
        <w:ind w:firstLine="420"/>
        <w:rPr>
          <w:rFonts w:ascii="Times New Roman" w:hAnsi="Times New Roman" w:cs="Times New Roman"/>
          <w:color w:val="auto"/>
        </w:rPr>
      </w:pPr>
      <w:r>
        <w:rPr>
          <w:rFonts w:ascii="Times New Roman" w:hAnsi="Times New Roman" w:cs="Times New Roman"/>
          <w:color w:val="auto"/>
        </w:rPr>
        <w:t>①响应文件中的大写金额与小写金额不一致的，以大写金额为准；</w:t>
      </w:r>
    </w:p>
    <w:p w14:paraId="00017540">
      <w:pPr>
        <w:spacing w:line="440" w:lineRule="exact"/>
        <w:ind w:firstLine="420"/>
        <w:rPr>
          <w:rFonts w:ascii="Times New Roman" w:hAnsi="Times New Roman" w:cs="Times New Roman"/>
          <w:color w:val="auto"/>
        </w:rPr>
      </w:pPr>
      <w:r>
        <w:rPr>
          <w:rFonts w:ascii="Times New Roman" w:hAnsi="Times New Roman" w:cs="Times New Roman"/>
          <w:color w:val="auto"/>
        </w:rPr>
        <w:t>②总价金额与依据单价计算出的结果不一致的，以单价金额为准修正总价，但单价金额小数点有明显错误的除外；</w:t>
      </w:r>
    </w:p>
    <w:p w14:paraId="52FBBA6B">
      <w:pPr>
        <w:spacing w:line="440" w:lineRule="exact"/>
        <w:ind w:firstLine="420"/>
        <w:rPr>
          <w:rFonts w:ascii="Times New Roman" w:hAnsi="Times New Roman" w:cs="Times New Roman"/>
          <w:color w:val="auto"/>
        </w:rPr>
      </w:pPr>
      <w:r>
        <w:rPr>
          <w:rFonts w:ascii="Times New Roman" w:hAnsi="Times New Roman" w:cs="Times New Roman"/>
          <w:color w:val="auto"/>
        </w:rPr>
        <w:t>③当单价与数量相乘不等于合价时，以单价计算为准，如果单价有明显的小数点位置差错，应以标出的合价为准，同时对单价予以修正；</w:t>
      </w:r>
    </w:p>
    <w:p w14:paraId="1E2B6E1F">
      <w:pPr>
        <w:spacing w:line="440" w:lineRule="exact"/>
        <w:ind w:firstLine="420"/>
        <w:rPr>
          <w:rFonts w:ascii="Times New Roman" w:hAnsi="Times New Roman" w:cs="Times New Roman"/>
          <w:color w:val="auto"/>
        </w:rPr>
      </w:pPr>
      <w:r>
        <w:rPr>
          <w:rFonts w:ascii="Times New Roman" w:hAnsi="Times New Roman" w:cs="Times New Roman"/>
          <w:color w:val="auto"/>
        </w:rPr>
        <w:t>④当各子目的合价累计不等于总价时，应以各子目合价累计数为准，修正总价。</w:t>
      </w:r>
    </w:p>
    <w:p w14:paraId="032C5509">
      <w:pPr>
        <w:spacing w:line="440" w:lineRule="exact"/>
        <w:ind w:firstLine="420"/>
        <w:rPr>
          <w:rFonts w:ascii="Times New Roman" w:hAnsi="Times New Roman" w:cs="Times New Roman"/>
          <w:color w:val="auto"/>
        </w:rPr>
      </w:pPr>
      <w:r>
        <w:rPr>
          <w:rFonts w:hint="eastAsia" w:ascii="Times New Roman" w:hAnsi="Times New Roman" w:cs="Times New Roman"/>
          <w:color w:val="auto"/>
        </w:rPr>
        <w:t>（2）报价</w:t>
      </w:r>
      <w:r>
        <w:rPr>
          <w:rFonts w:ascii="Times New Roman" w:hAnsi="Times New Roman" w:cs="Times New Roman"/>
          <w:color w:val="auto"/>
        </w:rPr>
        <w:t>清单中的报价有其他错误的，评审小组按以下原则对报价进行修正，修正的价格经供应商书面确认后具有约束力。供应商不接受修正价格的，评审小组应否决其报价。</w:t>
      </w:r>
    </w:p>
    <w:p w14:paraId="56C6EF78">
      <w:pPr>
        <w:spacing w:line="440" w:lineRule="exact"/>
        <w:ind w:firstLine="420"/>
        <w:rPr>
          <w:rFonts w:ascii="Times New Roman" w:hAnsi="Times New Roman" w:cs="Times New Roman"/>
          <w:color w:val="auto"/>
        </w:rPr>
      </w:pPr>
      <w:r>
        <w:rPr>
          <w:rFonts w:ascii="Times New Roman" w:hAnsi="Times New Roman" w:cs="Times New Roman"/>
          <w:color w:val="auto"/>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8DDA717">
      <w:pPr>
        <w:spacing w:line="440" w:lineRule="exact"/>
        <w:ind w:firstLine="420"/>
        <w:rPr>
          <w:rFonts w:ascii="Times New Roman" w:hAnsi="Times New Roman" w:cs="Times New Roman"/>
          <w:color w:val="auto"/>
        </w:rPr>
      </w:pPr>
      <w:r>
        <w:rPr>
          <w:rFonts w:ascii="Times New Roman" w:hAnsi="Times New Roman" w:cs="Times New Roman"/>
          <w:color w:val="auto"/>
        </w:rPr>
        <w:t>②在采购人给定的清单中多报了某个子目的单价、合价或总额价，或所报单价、合价或总额价增加了报价范围，则从报价中扣除多报的子目报价或子目报价中增加了报价范围的部分报价。</w:t>
      </w:r>
    </w:p>
    <w:p w14:paraId="5A5FD553">
      <w:pPr>
        <w:spacing w:line="440" w:lineRule="exact"/>
        <w:ind w:firstLine="420"/>
        <w:rPr>
          <w:rFonts w:ascii="Times New Roman" w:hAnsi="Times New Roman" w:cs="Times New Roman"/>
          <w:color w:val="auto"/>
        </w:rPr>
      </w:pPr>
      <w:r>
        <w:rPr>
          <w:rFonts w:ascii="Times New Roman" w:hAnsi="Times New Roman" w:cs="Times New Roman"/>
          <w:color w:val="auto"/>
        </w:rPr>
        <w:t>③当单价与数量的乘积与合价（金额）虽然一致，但供应商修改了该子目的数量，则其合价按采购人给定的数量乘以供应商所报单价予以修正。</w:t>
      </w:r>
    </w:p>
    <w:p w14:paraId="2987C54B">
      <w:pPr>
        <w:spacing w:line="440" w:lineRule="exact"/>
        <w:ind w:firstLine="420"/>
        <w:rPr>
          <w:rFonts w:ascii="Times New Roman" w:hAnsi="Times New Roman" w:cs="Times New Roman"/>
          <w:color w:val="auto"/>
        </w:rPr>
      </w:pPr>
      <w:r>
        <w:rPr>
          <w:rFonts w:ascii="Times New Roman" w:hAnsi="Times New Roman" w:cs="Times New Roman"/>
          <w:color w:val="auto"/>
        </w:rPr>
        <w:t>④当各子目的合价累计不等于总价时，应以各子目合价累计数为准，修正总价。</w:t>
      </w:r>
    </w:p>
    <w:p w14:paraId="58A8968D">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4 </w:t>
      </w:r>
      <w:r>
        <w:rPr>
          <w:rFonts w:ascii="Times New Roman" w:hAnsi="Times New Roman" w:cs="Times New Roman"/>
          <w:color w:val="auto"/>
        </w:rPr>
        <w:t>修正后的最终报价若超过最高限价（如有），</w:t>
      </w:r>
      <w:r>
        <w:rPr>
          <w:rFonts w:hint="eastAsia" w:ascii="Times New Roman" w:hAnsi="Times New Roman" w:cs="Times New Roman"/>
          <w:color w:val="auto"/>
        </w:rPr>
        <w:t>评审小组</w:t>
      </w:r>
      <w:r>
        <w:rPr>
          <w:rFonts w:ascii="Times New Roman" w:hAnsi="Times New Roman" w:cs="Times New Roman"/>
          <w:color w:val="auto"/>
        </w:rPr>
        <w:t>应否决其报价。</w:t>
      </w:r>
    </w:p>
    <w:p w14:paraId="56A483ED">
      <w:pPr>
        <w:spacing w:line="440" w:lineRule="exact"/>
        <w:ind w:firstLine="420"/>
        <w:rPr>
          <w:color w:val="auto"/>
        </w:rPr>
      </w:pPr>
      <w:r>
        <w:rPr>
          <w:rFonts w:ascii="Times New Roman" w:hAnsi="Times New Roman" w:cs="Times New Roman"/>
          <w:color w:val="auto"/>
        </w:rPr>
        <w:t>3.1.</w:t>
      </w:r>
      <w:r>
        <w:rPr>
          <w:rFonts w:hint="eastAsia" w:ascii="Times New Roman" w:hAnsi="Times New Roman" w:cs="Times New Roman"/>
          <w:color w:val="auto"/>
        </w:rPr>
        <w:t>5</w:t>
      </w:r>
      <w:r>
        <w:rPr>
          <w:rFonts w:ascii="Times New Roman" w:hAnsi="Times New Roman" w:cs="Times New Roman"/>
          <w:color w:val="auto"/>
        </w:rPr>
        <w:t xml:space="preserve"> </w:t>
      </w:r>
      <w:r>
        <w:rPr>
          <w:rFonts w:hint="eastAsia" w:ascii="Times New Roman" w:hAnsi="Times New Roman" w:cs="Times New Roman"/>
          <w:color w:val="auto"/>
          <w:szCs w:val="21"/>
        </w:rPr>
        <w:t>修正后的</w:t>
      </w:r>
      <w:r>
        <w:rPr>
          <w:rFonts w:ascii="Times New Roman" w:hAnsi="Times New Roman" w:cs="Times New Roman"/>
          <w:color w:val="auto"/>
        </w:rPr>
        <w:t>最终报价参与评审价得分的计算</w:t>
      </w:r>
      <w:r>
        <w:rPr>
          <w:rFonts w:hint="eastAsia" w:ascii="Times New Roman" w:hAnsi="Times New Roman" w:cs="Times New Roman"/>
          <w:color w:val="auto"/>
        </w:rPr>
        <w:t>，并作为签订合同的依据</w:t>
      </w:r>
      <w:r>
        <w:rPr>
          <w:rFonts w:ascii="Times New Roman" w:hAnsi="Times New Roman" w:cs="Times New Roman"/>
          <w:color w:val="auto"/>
        </w:rPr>
        <w:t>。</w:t>
      </w:r>
    </w:p>
    <w:p w14:paraId="397B956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 xml:space="preserve">2 </w:t>
      </w:r>
      <w:r>
        <w:rPr>
          <w:rFonts w:hint="eastAsia" w:ascii="Times New Roman" w:hAnsi="Times New Roman" w:eastAsia="黑体" w:cs="Times New Roman"/>
          <w:bCs/>
          <w:color w:val="auto"/>
          <w:sz w:val="24"/>
          <w:szCs w:val="32"/>
        </w:rPr>
        <w:t>否决响应文件</w:t>
      </w:r>
      <w:r>
        <w:rPr>
          <w:rFonts w:ascii="Times New Roman" w:hAnsi="Times New Roman" w:eastAsia="黑体" w:cs="Times New Roman"/>
          <w:bCs/>
          <w:color w:val="auto"/>
          <w:sz w:val="24"/>
          <w:szCs w:val="32"/>
        </w:rPr>
        <w:t>的其他情形</w:t>
      </w:r>
    </w:p>
    <w:p w14:paraId="55201C49">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应对在评审过程中发现供应商存在串通报价、弄虚作假、行贿等违法行为的，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4BEA045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3</w:t>
      </w:r>
      <w:r>
        <w:rPr>
          <w:rFonts w:ascii="Times New Roman" w:hAnsi="Times New Roman" w:eastAsia="黑体" w:cs="Times New Roman"/>
          <w:bCs/>
          <w:color w:val="auto"/>
          <w:sz w:val="24"/>
          <w:szCs w:val="32"/>
        </w:rPr>
        <w:t xml:space="preserve"> 响应文件的澄清</w:t>
      </w:r>
    </w:p>
    <w:p w14:paraId="6BB680E8">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3</w:t>
      </w:r>
      <w:r>
        <w:rPr>
          <w:rFonts w:ascii="Times New Roman" w:hAnsi="Times New Roman" w:cs="Times New Roman"/>
          <w:color w:val="auto"/>
        </w:rPr>
        <w:t>.1 在评审过程中，</w:t>
      </w:r>
      <w:r>
        <w:rPr>
          <w:rFonts w:hint="eastAsia" w:ascii="Times New Roman" w:hAnsi="Times New Roman" w:cs="Times New Roman"/>
          <w:color w:val="auto"/>
        </w:rPr>
        <w:t>评审小组</w:t>
      </w:r>
      <w:r>
        <w:rPr>
          <w:rFonts w:ascii="Times New Roman" w:hAnsi="Times New Roman" w:cs="Times New Roman"/>
          <w:color w:val="auto"/>
        </w:rPr>
        <w:t>可以书面形式要求供应商对响应文件中含义不明确、对同类问题表述不一致或者有明显文字</w:t>
      </w:r>
      <w:r>
        <w:rPr>
          <w:rFonts w:hint="eastAsia" w:ascii="Times New Roman" w:hAnsi="Times New Roman" w:cs="Times New Roman"/>
          <w:color w:val="auto"/>
        </w:rPr>
        <w:t>错误</w:t>
      </w:r>
      <w:r>
        <w:rPr>
          <w:rFonts w:ascii="Times New Roman" w:hAnsi="Times New Roman" w:cs="Times New Roman"/>
          <w:color w:val="auto"/>
        </w:rPr>
        <w:t>的内容做必要的澄清。</w:t>
      </w:r>
      <w:r>
        <w:rPr>
          <w:rFonts w:hint="eastAsia" w:ascii="Times New Roman" w:hAnsi="Times New Roman" w:cs="Times New Roman"/>
          <w:color w:val="auto"/>
        </w:rPr>
        <w:t>评审小组</w:t>
      </w:r>
      <w:r>
        <w:rPr>
          <w:rFonts w:ascii="Times New Roman" w:hAnsi="Times New Roman" w:cs="Times New Roman"/>
          <w:color w:val="auto"/>
        </w:rPr>
        <w:t>不接受供应商主动提出的澄清。</w:t>
      </w:r>
    </w:p>
    <w:p w14:paraId="537C40A9">
      <w:pPr>
        <w:spacing w:line="440" w:lineRule="exact"/>
        <w:ind w:firstLine="420"/>
        <w:rPr>
          <w:rFonts w:ascii="Times New Roman" w:hAnsi="Times New Roman" w:cs="Times New Roman"/>
          <w:strike/>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3</w:t>
      </w:r>
      <w:r>
        <w:rPr>
          <w:rFonts w:ascii="Times New Roman" w:hAnsi="Times New Roman" w:cs="Times New Roman"/>
          <w:color w:val="auto"/>
        </w:rPr>
        <w:t>.2 澄清不得超出响应文件的范围且不得改变响应文件的实质性内容，并构成响应文件的组成部分。</w:t>
      </w:r>
    </w:p>
    <w:p w14:paraId="60C98150">
      <w:pPr>
        <w:keepNext/>
        <w:keepLines/>
        <w:spacing w:before="120" w:after="120"/>
        <w:outlineLvl w:val="2"/>
        <w:rPr>
          <w:rFonts w:ascii="Times New Roman" w:hAnsi="Times New Roman" w:eastAsia="黑体" w:cs="Times New Roman"/>
          <w:bCs/>
          <w:color w:val="auto"/>
          <w:sz w:val="24"/>
          <w:szCs w:val="32"/>
          <w:highlight w:val="yellow"/>
        </w:rPr>
      </w:pPr>
      <w:r>
        <w:rPr>
          <w:rFonts w:ascii="Times New Roman" w:hAnsi="Times New Roman" w:eastAsia="黑体" w:cs="Times New Roman"/>
          <w:bCs/>
          <w:color w:val="auto"/>
          <w:sz w:val="24"/>
          <w:szCs w:val="32"/>
          <w:highlight w:val="yellow"/>
        </w:rPr>
        <w:t>3.</w:t>
      </w:r>
      <w:r>
        <w:rPr>
          <w:rFonts w:hint="eastAsia" w:ascii="Times New Roman" w:hAnsi="Times New Roman" w:eastAsia="黑体" w:cs="Times New Roman"/>
          <w:bCs/>
          <w:color w:val="auto"/>
          <w:sz w:val="24"/>
          <w:szCs w:val="32"/>
          <w:highlight w:val="yellow"/>
          <w:lang w:val="en-US" w:eastAsia="zh-CN"/>
        </w:rPr>
        <w:t>4</w:t>
      </w:r>
      <w:r>
        <w:rPr>
          <w:rFonts w:ascii="Times New Roman" w:hAnsi="Times New Roman" w:eastAsia="黑体" w:cs="Times New Roman"/>
          <w:bCs/>
          <w:color w:val="auto"/>
          <w:sz w:val="24"/>
          <w:szCs w:val="32"/>
          <w:highlight w:val="yellow"/>
        </w:rPr>
        <w:t xml:space="preserve"> 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59264;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3、报价记录表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164FE05">
      <w:pPr>
        <w:spacing w:line="440" w:lineRule="exact"/>
        <w:ind w:firstLine="420"/>
        <w:rPr>
          <w:rFonts w:hint="eastAsia" w:ascii="Times New Roman" w:hAnsi="Times New Roman"/>
          <w:color w:val="auto"/>
          <w:sz w:val="21"/>
          <w:szCs w:val="24"/>
          <w:highlight w:val="none"/>
          <w:lang w:val="en-US" w:eastAsia="zh-CN"/>
        </w:rPr>
      </w:pPr>
    </w:p>
    <w:p w14:paraId="7258E689">
      <w:pPr>
        <w:spacing w:line="440" w:lineRule="exact"/>
        <w:ind w:firstLine="420"/>
        <w:rPr>
          <w:rFonts w:hint="eastAsia" w:ascii="Times New Roman" w:hAnsi="Times New Roman"/>
          <w:color w:val="auto"/>
          <w:sz w:val="21"/>
          <w:szCs w:val="24"/>
          <w:highlight w:val="none"/>
          <w:lang w:val="en-US" w:eastAsia="zh-CN"/>
        </w:rPr>
      </w:pPr>
    </w:p>
    <w:p w14:paraId="0DC16695">
      <w:pPr>
        <w:spacing w:line="440" w:lineRule="exact"/>
        <w:ind w:firstLine="420"/>
        <w:rPr>
          <w:rFonts w:hint="eastAsia" w:ascii="Times New Roman" w:hAnsi="Times New Roman"/>
          <w:color w:val="auto"/>
          <w:sz w:val="21"/>
          <w:szCs w:val="24"/>
          <w:highlight w:val="none"/>
          <w:lang w:val="en-US" w:eastAsia="zh-CN"/>
        </w:rPr>
      </w:pPr>
    </w:p>
    <w:p w14:paraId="7980B23C">
      <w:pPr>
        <w:spacing w:line="440" w:lineRule="exact"/>
        <w:ind w:firstLine="420"/>
        <w:rPr>
          <w:rFonts w:hint="eastAsia" w:ascii="Times New Roman" w:hAnsi="Times New Roman"/>
          <w:color w:val="auto"/>
          <w:sz w:val="21"/>
          <w:szCs w:val="24"/>
          <w:highlight w:val="none"/>
          <w:lang w:val="en-US" w:eastAsia="zh-CN"/>
        </w:rPr>
      </w:pPr>
    </w:p>
    <w:p w14:paraId="360B799A">
      <w:pPr>
        <w:spacing w:line="440" w:lineRule="exact"/>
        <w:ind w:firstLine="420"/>
        <w:rPr>
          <w:rFonts w:hint="eastAsia" w:ascii="Times New Roman" w:hAnsi="Times New Roman"/>
          <w:color w:val="auto"/>
          <w:sz w:val="21"/>
          <w:szCs w:val="24"/>
          <w:highlight w:val="none"/>
          <w:lang w:val="en-US" w:eastAsia="zh-CN"/>
        </w:rPr>
      </w:pPr>
    </w:p>
    <w:p w14:paraId="3E352CC5">
      <w:pPr>
        <w:spacing w:line="440" w:lineRule="exact"/>
        <w:ind w:firstLine="420"/>
        <w:rPr>
          <w:rFonts w:hint="eastAsia" w:ascii="Times New Roman" w:hAnsi="Times New Roman"/>
          <w:color w:val="auto"/>
          <w:sz w:val="21"/>
          <w:szCs w:val="24"/>
          <w:highlight w:val="none"/>
          <w:lang w:val="en-US" w:eastAsia="zh-CN"/>
        </w:rPr>
      </w:pPr>
    </w:p>
    <w:p w14:paraId="46F7E1A8">
      <w:pPr>
        <w:spacing w:line="440" w:lineRule="exact"/>
        <w:ind w:firstLine="420"/>
        <w:rPr>
          <w:rFonts w:hint="eastAsia" w:ascii="Times New Roman" w:hAnsi="Times New Roman"/>
          <w:color w:val="auto"/>
          <w:sz w:val="21"/>
          <w:szCs w:val="24"/>
          <w:highlight w:val="none"/>
          <w:lang w:val="en-US" w:eastAsia="zh-CN"/>
        </w:rPr>
      </w:pPr>
    </w:p>
    <w:p w14:paraId="53A62327">
      <w:pPr>
        <w:spacing w:line="440" w:lineRule="exact"/>
        <w:ind w:firstLine="420"/>
        <w:rPr>
          <w:rFonts w:hint="eastAsia" w:ascii="Times New Roman" w:hAnsi="Times New Roman"/>
          <w:color w:val="auto"/>
          <w:sz w:val="21"/>
          <w:szCs w:val="24"/>
          <w:highlight w:val="none"/>
          <w:lang w:val="en-US" w:eastAsia="zh-CN"/>
        </w:rPr>
      </w:pPr>
    </w:p>
    <w:p w14:paraId="4B05F95B">
      <w:pPr>
        <w:spacing w:line="440" w:lineRule="exact"/>
        <w:ind w:firstLine="420"/>
        <w:rPr>
          <w:rFonts w:hint="eastAsia" w:ascii="Times New Roman" w:hAnsi="Times New Roman"/>
          <w:color w:val="auto"/>
          <w:sz w:val="21"/>
          <w:szCs w:val="24"/>
          <w:highlight w:val="none"/>
          <w:lang w:val="en-US" w:eastAsia="zh-CN"/>
        </w:rPr>
      </w:pPr>
    </w:p>
    <w:p w14:paraId="03FF14FB">
      <w:pPr>
        <w:spacing w:line="440" w:lineRule="exact"/>
        <w:ind w:firstLine="420"/>
        <w:rPr>
          <w:rFonts w:hint="eastAsia" w:ascii="Times New Roman" w:hAnsi="Times New Roman"/>
          <w:color w:val="auto"/>
          <w:sz w:val="21"/>
          <w:szCs w:val="24"/>
          <w:highlight w:val="none"/>
          <w:lang w:val="en-US" w:eastAsia="zh-CN"/>
        </w:rPr>
      </w:pPr>
    </w:p>
    <w:p w14:paraId="005C7977">
      <w:pPr>
        <w:spacing w:line="440" w:lineRule="exact"/>
        <w:ind w:firstLine="420"/>
        <w:rPr>
          <w:rFonts w:hint="eastAsia" w:ascii="Times New Roman" w:hAnsi="Times New Roman"/>
          <w:color w:val="auto"/>
          <w:sz w:val="21"/>
          <w:szCs w:val="24"/>
          <w:highlight w:val="none"/>
          <w:lang w:val="en-US" w:eastAsia="zh-CN"/>
        </w:rPr>
      </w:pPr>
    </w:p>
    <w:p w14:paraId="20008911">
      <w:pPr>
        <w:spacing w:line="440" w:lineRule="exact"/>
        <w:ind w:firstLine="420"/>
        <w:rPr>
          <w:rFonts w:hint="eastAsia" w:ascii="Times New Roman" w:hAnsi="Times New Roman"/>
          <w:color w:val="auto"/>
          <w:sz w:val="21"/>
          <w:szCs w:val="24"/>
          <w:highlight w:val="none"/>
          <w:lang w:val="en-US" w:eastAsia="zh-CN"/>
        </w:rPr>
      </w:pPr>
    </w:p>
    <w:p w14:paraId="5C49DCE2">
      <w:pPr>
        <w:spacing w:line="440" w:lineRule="exact"/>
        <w:ind w:firstLine="420"/>
        <w:rPr>
          <w:rFonts w:hint="eastAsia" w:ascii="Times New Roman" w:hAnsi="Times New Roman"/>
          <w:color w:val="auto"/>
          <w:sz w:val="21"/>
          <w:szCs w:val="24"/>
          <w:highlight w:val="none"/>
          <w:lang w:val="en-US" w:eastAsia="zh-CN"/>
        </w:rPr>
      </w:pPr>
    </w:p>
    <w:p w14:paraId="6EC6AD8B">
      <w:pPr>
        <w:spacing w:line="440" w:lineRule="exact"/>
        <w:ind w:firstLine="420"/>
        <w:rPr>
          <w:rFonts w:hint="eastAsia" w:ascii="Times New Roman" w:hAnsi="Times New Roman"/>
          <w:color w:val="auto"/>
          <w:sz w:val="21"/>
          <w:szCs w:val="24"/>
          <w:highlight w:val="none"/>
          <w:lang w:val="en-US" w:eastAsia="zh-CN"/>
        </w:rPr>
      </w:pPr>
    </w:p>
    <w:p w14:paraId="05AB49F8">
      <w:pPr>
        <w:spacing w:line="440" w:lineRule="exact"/>
        <w:ind w:firstLine="420"/>
        <w:rPr>
          <w:rFonts w:hint="eastAsia" w:ascii="Times New Roman" w:hAnsi="Times New Roman"/>
          <w:color w:val="auto"/>
          <w:sz w:val="21"/>
          <w:szCs w:val="24"/>
          <w:highlight w:val="none"/>
          <w:lang w:val="en-US" w:eastAsia="zh-CN"/>
        </w:rPr>
      </w:pPr>
    </w:p>
    <w:p w14:paraId="6B189267">
      <w:pPr>
        <w:spacing w:line="440" w:lineRule="exact"/>
        <w:ind w:firstLine="420"/>
        <w:rPr>
          <w:rFonts w:hint="eastAsia" w:ascii="Times New Roman" w:hAnsi="Times New Roman"/>
          <w:color w:val="auto"/>
          <w:sz w:val="21"/>
          <w:szCs w:val="24"/>
          <w:highlight w:val="none"/>
          <w:lang w:val="en-US" w:eastAsia="zh-CN"/>
        </w:rPr>
      </w:pPr>
    </w:p>
    <w:p w14:paraId="2E0A6057">
      <w:pPr>
        <w:spacing w:line="440" w:lineRule="exact"/>
        <w:ind w:firstLine="420"/>
        <w:rPr>
          <w:rFonts w:hint="eastAsia" w:ascii="Times New Roman" w:hAnsi="Times New Roman"/>
          <w:color w:val="auto"/>
          <w:sz w:val="21"/>
          <w:szCs w:val="24"/>
          <w:highlight w:val="none"/>
          <w:lang w:val="en-US" w:eastAsia="zh-CN"/>
        </w:rPr>
      </w:pPr>
    </w:p>
    <w:p w14:paraId="35796F31">
      <w:pPr>
        <w:spacing w:line="440" w:lineRule="exact"/>
        <w:ind w:firstLine="420"/>
        <w:rPr>
          <w:rFonts w:hint="eastAsia" w:ascii="Times New Roman" w:hAnsi="Times New Roman"/>
          <w:color w:val="auto"/>
          <w:sz w:val="21"/>
          <w:szCs w:val="24"/>
          <w:highlight w:val="none"/>
          <w:lang w:val="en-US" w:eastAsia="zh-CN"/>
        </w:rPr>
      </w:pPr>
    </w:p>
    <w:p w14:paraId="46E9842F">
      <w:pPr>
        <w:spacing w:line="440" w:lineRule="exact"/>
        <w:ind w:firstLine="420"/>
        <w:rPr>
          <w:rFonts w:hint="eastAsia" w:ascii="Times New Roman" w:hAnsi="Times New Roman"/>
          <w:color w:val="auto"/>
          <w:sz w:val="21"/>
          <w:szCs w:val="24"/>
          <w:highlight w:val="none"/>
          <w:lang w:val="en-US" w:eastAsia="zh-CN"/>
        </w:rPr>
      </w:pPr>
    </w:p>
    <w:p w14:paraId="50ED2A2C">
      <w:pPr>
        <w:spacing w:line="440" w:lineRule="exact"/>
        <w:rPr>
          <w:rFonts w:hint="eastAsia" w:ascii="Times New Roman" w:hAnsi="Times New Roman"/>
          <w:color w:val="auto"/>
          <w:sz w:val="21"/>
          <w:szCs w:val="24"/>
          <w:highlight w:val="none"/>
          <w:lang w:val="en-US" w:eastAsia="zh-CN"/>
        </w:rPr>
      </w:pPr>
    </w:p>
    <w:p w14:paraId="3E258E68">
      <w:pPr>
        <w:pStyle w:val="2"/>
        <w:numPr>
          <w:ilvl w:val="0"/>
          <w:numId w:val="0"/>
        </w:numPr>
        <w:spacing w:before="312" w:after="312"/>
        <w:rPr>
          <w:rFonts w:ascii="Times New Roman" w:hAnsi="Times New Roman" w:eastAsia="宋体" w:cs="Times New Roman"/>
          <w:color w:val="auto"/>
          <w:highlight w:val="none"/>
        </w:rPr>
      </w:pPr>
      <w:bookmarkStart w:id="60" w:name="_Toc22980"/>
      <w:r>
        <w:rPr>
          <w:rFonts w:hint="eastAsia" w:ascii="Times New Roman" w:hAnsi="Times New Roman" w:eastAsia="宋体" w:cs="Times New Roman"/>
          <w:color w:val="auto"/>
          <w:highlight w:val="none"/>
        </w:rPr>
        <w:t xml:space="preserve">第四章 </w:t>
      </w:r>
      <w:r>
        <w:rPr>
          <w:rFonts w:ascii="Times New Roman" w:hAnsi="Times New Roman" w:eastAsia="宋体" w:cs="Times New Roman"/>
          <w:color w:val="auto"/>
          <w:highlight w:val="none"/>
        </w:rPr>
        <w:t>合同内容</w:t>
      </w:r>
      <w:bookmarkEnd w:id="60"/>
    </w:p>
    <w:p w14:paraId="41D4F1FD">
      <w:pPr>
        <w:rPr>
          <w:color w:val="auto"/>
        </w:rPr>
      </w:pPr>
    </w:p>
    <w:p w14:paraId="265E22DC">
      <w:pPr>
        <w:pStyle w:val="4"/>
        <w:rPr>
          <w:color w:val="auto"/>
        </w:rPr>
      </w:pPr>
    </w:p>
    <w:p w14:paraId="738C659C">
      <w:pPr>
        <w:rPr>
          <w:color w:val="auto"/>
        </w:rPr>
      </w:pPr>
    </w:p>
    <w:p w14:paraId="540C4EF0">
      <w:pPr>
        <w:pStyle w:val="4"/>
        <w:rPr>
          <w:color w:val="auto"/>
        </w:rPr>
      </w:pPr>
    </w:p>
    <w:p w14:paraId="3F71DA0F">
      <w:pPr>
        <w:rPr>
          <w:color w:val="auto"/>
        </w:rPr>
      </w:pPr>
    </w:p>
    <w:p w14:paraId="2907A364">
      <w:pPr>
        <w:pStyle w:val="4"/>
        <w:rPr>
          <w:color w:val="auto"/>
        </w:rPr>
      </w:pPr>
    </w:p>
    <w:p w14:paraId="4CD70DF7">
      <w:pPr>
        <w:rPr>
          <w:color w:val="auto"/>
        </w:rPr>
      </w:pPr>
    </w:p>
    <w:p w14:paraId="18BFBEFC">
      <w:pPr>
        <w:pStyle w:val="4"/>
        <w:rPr>
          <w:color w:val="auto"/>
        </w:rPr>
      </w:pPr>
    </w:p>
    <w:p w14:paraId="5501AAFE">
      <w:pPr>
        <w:rPr>
          <w:color w:val="auto"/>
        </w:rPr>
      </w:pPr>
    </w:p>
    <w:p w14:paraId="30C104D4">
      <w:pPr>
        <w:pStyle w:val="4"/>
        <w:rPr>
          <w:color w:val="auto"/>
        </w:rPr>
      </w:pPr>
    </w:p>
    <w:p w14:paraId="66E95CF5">
      <w:pPr>
        <w:rPr>
          <w:color w:val="auto"/>
        </w:rPr>
      </w:pPr>
    </w:p>
    <w:p w14:paraId="7F8D410A">
      <w:pPr>
        <w:pStyle w:val="4"/>
        <w:rPr>
          <w:color w:val="auto"/>
        </w:rPr>
      </w:pPr>
    </w:p>
    <w:p w14:paraId="4776C596">
      <w:pPr>
        <w:rPr>
          <w:color w:val="auto"/>
        </w:rPr>
      </w:pPr>
    </w:p>
    <w:p w14:paraId="5B2CC679">
      <w:pPr>
        <w:pStyle w:val="4"/>
        <w:rPr>
          <w:color w:val="auto"/>
        </w:rPr>
      </w:pPr>
    </w:p>
    <w:p w14:paraId="281BE30B">
      <w:pPr>
        <w:rPr>
          <w:color w:val="auto"/>
        </w:rPr>
      </w:pPr>
    </w:p>
    <w:p w14:paraId="3CF6E997">
      <w:pPr>
        <w:pStyle w:val="4"/>
        <w:rPr>
          <w:color w:val="auto"/>
        </w:rPr>
      </w:pPr>
    </w:p>
    <w:p w14:paraId="510F048E">
      <w:pPr>
        <w:rPr>
          <w:color w:val="auto"/>
        </w:rPr>
      </w:pPr>
    </w:p>
    <w:p w14:paraId="3C9D9DF2">
      <w:pPr>
        <w:pStyle w:val="4"/>
        <w:rPr>
          <w:color w:val="auto"/>
        </w:rPr>
      </w:pPr>
    </w:p>
    <w:p w14:paraId="7E1B0E56">
      <w:pPr>
        <w:rPr>
          <w:color w:val="auto"/>
        </w:rPr>
      </w:pPr>
    </w:p>
    <w:p w14:paraId="0EF5D175">
      <w:pPr>
        <w:pStyle w:val="4"/>
        <w:rPr>
          <w:color w:val="auto"/>
        </w:rPr>
      </w:pPr>
    </w:p>
    <w:p w14:paraId="4E6763EF">
      <w:pPr>
        <w:rPr>
          <w:color w:val="auto"/>
        </w:rPr>
      </w:pPr>
    </w:p>
    <w:p w14:paraId="046A7A7D">
      <w:pPr>
        <w:pStyle w:val="4"/>
        <w:rPr>
          <w:color w:val="auto"/>
        </w:rPr>
      </w:pPr>
    </w:p>
    <w:p w14:paraId="5A5ABDF5">
      <w:pPr>
        <w:rPr>
          <w:color w:val="auto"/>
        </w:rPr>
      </w:pPr>
    </w:p>
    <w:p w14:paraId="5748B614">
      <w:pPr>
        <w:pStyle w:val="4"/>
        <w:rPr>
          <w:color w:val="auto"/>
        </w:rPr>
      </w:pPr>
    </w:p>
    <w:p w14:paraId="6AD5040E">
      <w:pPr>
        <w:rPr>
          <w:color w:val="auto"/>
        </w:rPr>
      </w:pPr>
      <w:permStart w:id="0" w:edGrp="everyone"/>
      <w:permEnd w:id="0"/>
    </w:p>
    <w:p w14:paraId="146204A8">
      <w:pPr>
        <w:rPr>
          <w:color w:val="auto"/>
        </w:rPr>
      </w:pPr>
    </w:p>
    <w:p w14:paraId="15625C68">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1"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lang w:val="en-US" w:eastAsia="zh-CN"/>
        </w:rPr>
        <w:t>采购</w:t>
      </w:r>
      <w:r>
        <w:rPr>
          <w:rFonts w:hint="eastAsia" w:ascii="方正小标宋简体" w:hAnsi="方正小标宋简体" w:eastAsia="方正小标宋简体" w:cs="方正小标宋简体"/>
          <w:bCs/>
          <w:color w:val="auto"/>
          <w:sz w:val="44"/>
          <w:szCs w:val="44"/>
          <w:highlight w:val="none"/>
          <w:lang w:eastAsia="zh-CN"/>
        </w:rPr>
        <w:t>合同</w:t>
      </w:r>
    </w:p>
    <w:permEnd w:id="1"/>
    <w:p w14:paraId="20D8AE44">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2FB50F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rPr>
        <w:t>（以</w:t>
      </w:r>
      <w:permEnd w:id="2"/>
      <w:r>
        <w:rPr>
          <w:rFonts w:hint="eastAsia" w:ascii="仿宋_GB2312" w:hAnsi="仿宋_GB2312" w:eastAsia="仿宋_GB2312" w:cs="仿宋_GB2312"/>
          <w:color w:val="auto"/>
          <w:sz w:val="28"/>
          <w:szCs w:val="28"/>
          <w:highlight w:val="none"/>
        </w:rPr>
        <w:t>下简称甲方）</w:t>
      </w:r>
    </w:p>
    <w:p w14:paraId="452991A8">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permStart w:id="3" w:edGrp="everyone"/>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 xml:space="preserve">（以下简称乙方） </w:t>
      </w:r>
      <w:permEnd w:id="3"/>
      <w:r>
        <w:rPr>
          <w:rFonts w:hint="eastAsia" w:ascii="仿宋_GB2312" w:hAnsi="仿宋_GB2312" w:eastAsia="仿宋_GB2312" w:cs="仿宋_GB2312"/>
          <w:color w:val="auto"/>
          <w:sz w:val="28"/>
          <w:szCs w:val="28"/>
          <w:highlight w:val="none"/>
        </w:rPr>
        <w:t xml:space="preserve"> </w:t>
      </w:r>
    </w:p>
    <w:p w14:paraId="72114221">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w:t>
      </w:r>
      <w:permStart w:id="4" w:edGrp="everyone"/>
      <w:r>
        <w:rPr>
          <w:rFonts w:hint="eastAsia" w:ascii="仿宋_GB2312" w:hAnsi="仿宋_GB2312" w:eastAsia="仿宋_GB2312" w:cs="仿宋_GB2312"/>
          <w:color w:val="auto"/>
          <w:sz w:val="28"/>
          <w:szCs w:val="28"/>
          <w:highlight w:val="none"/>
          <w:lang w:val="en-US" w:eastAsia="zh-CN"/>
        </w:rPr>
        <w:t>现就甲方向乙方购买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18FD6CB5">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5942F8AA">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1.本合同暂定总价为（含增值税）</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元（大写：人民币</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元）。其中，不含增值税价款为</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元（大写：人民币</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元），增值税税率为</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%，增值税</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元（大写：人民币</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元）。若因国家税务政策变化导致税率调整，不含增值税价格不变，具体税金以变更后的税率计算。</w:t>
      </w:r>
    </w:p>
    <w:permEnd w:id="4"/>
    <w:p w14:paraId="405BB578">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产品为固定综合单价，已经包含税费、材料费（含辅材）、运输费、材料装车费、人员成本、各项实验检验费、验收费以及与货物有关的特殊要求等可能产生的所有成本和费用。在合同执行期内，产品单价不因市场波动、政策调整、人工涨跌等原因做任何形式的调整。乙方提供设备内所有仪器、仪表的通讯协议，配合甲方数据传输及通讯系统调试，并包含在合同内，不进行单独计价。本合同所列产品数量为暂估数量，最终以签收数量（乙方无条件补货与退货，并承担相应的运输、装车等费用）和固定综合单价进行结算。</w:t>
      </w:r>
    </w:p>
    <w:p w14:paraId="6C6AEBB5">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184E683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w:t>
      </w:r>
    </w:p>
    <w:p w14:paraId="69018AB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甲方负责卸货并承担费用）。运输费用和装车费用均包含在合同价款内，由乙方承担。货物在验收合格并交付给甲方前的毁损、灭失，损失由乙方全额承担。</w:t>
      </w:r>
    </w:p>
    <w:p w14:paraId="2682D4B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3.交货时间：乙方须在接到甲方通知后，按甲方通知时间完成供货。通知方式包括但不限于电话、短信、邮件、传真、微信，</w:t>
      </w:r>
      <w:permStart w:id="5" w:edGrp="everyone"/>
      <w:r>
        <w:rPr>
          <w:rFonts w:hint="eastAsia" w:ascii="仿宋_GB2312" w:hAnsi="仿宋_GB2312" w:eastAsia="仿宋_GB2312" w:cs="仿宋_GB2312"/>
          <w:color w:val="auto"/>
          <w:kern w:val="2"/>
          <w:sz w:val="28"/>
          <w:szCs w:val="28"/>
          <w:highlight w:val="none"/>
          <w:lang w:val="en-US" w:eastAsia="zh-CN" w:bidi="ar-SA"/>
        </w:rPr>
        <w:t>乙方确</w:t>
      </w:r>
    </w:p>
    <w:p w14:paraId="73312609">
      <w:pPr>
        <w:keepNext w:val="0"/>
        <w:keepLines w:val="0"/>
        <w:pageBreakBefore w:val="0"/>
        <w:kinsoku/>
        <w:overflowPunct/>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w:t>
      </w:r>
      <w:permEnd w:id="5"/>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4.在运输过程中发生车辆人员毁损、伤亡等安全事故或发生对周围环境、水流、道路、树木、作物等损害事故时，由乙方承担各种赔偿费用，并由乙方与承运人、承保人办理理赔事宜。</w:t>
      </w:r>
    </w:p>
    <w:p w14:paraId="54CFABA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616B634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638303C7">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后，需将货物卸至甲方指定地点，并经甲方签收确认。甲方指定</w:t>
      </w:r>
      <w:permStart w:id="6" w:edGrp="everyone"/>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permEnd w:id="6"/>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50F473B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01A23D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4.如品</w:t>
      </w:r>
      <w:r>
        <w:rPr>
          <w:rFonts w:hint="eastAsia" w:ascii="仿宋_GB2312" w:hAnsi="仿宋_GB2312" w:eastAsia="仿宋_GB2312" w:cs="仿宋_GB2312"/>
          <w:b w:val="0"/>
          <w:bCs w:val="0"/>
          <w:color w:val="auto"/>
          <w:sz w:val="28"/>
          <w:szCs w:val="28"/>
          <w:highlight w:val="none"/>
        </w:rPr>
        <w:t>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3E7152A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6BB68AE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本合同约定货物的质保期为</w:t>
      </w:r>
      <w:r>
        <w:rPr>
          <w:rFonts w:hint="eastAsia" w:ascii="仿宋_GB2312" w:hAnsi="仿宋_GB2312" w:eastAsia="仿宋_GB2312" w:cs="仿宋_GB2312"/>
          <w:b w:val="0"/>
          <w:bCs w:val="0"/>
          <w:color w:val="auto"/>
          <w:sz w:val="28"/>
          <w:szCs w:val="28"/>
          <w:highlight w:val="none"/>
          <w:lang w:val="en-US" w:eastAsia="zh-CN"/>
        </w:rPr>
        <w:t>2年</w:t>
      </w:r>
      <w:r>
        <w:rPr>
          <w:rFonts w:hint="eastAsia" w:ascii="仿宋_GB2312" w:hAnsi="仿宋_GB2312" w:eastAsia="仿宋_GB2312" w:cs="仿宋_GB2312"/>
          <w:b w:val="0"/>
          <w:bCs w:val="0"/>
          <w:color w:val="auto"/>
          <w:sz w:val="28"/>
          <w:szCs w:val="28"/>
          <w:highlight w:val="none"/>
        </w:rPr>
        <w:t>，自最后一批次供货</w:t>
      </w:r>
      <w:r>
        <w:rPr>
          <w:rFonts w:hint="eastAsia" w:ascii="仿宋_GB2312" w:hAnsi="仿宋_GB2312" w:eastAsia="仿宋_GB2312" w:cs="仿宋_GB2312"/>
          <w:b w:val="0"/>
          <w:bCs w:val="0"/>
          <w:color w:val="auto"/>
          <w:sz w:val="28"/>
          <w:szCs w:val="28"/>
          <w:highlight w:val="none"/>
          <w:lang w:val="en-US" w:eastAsia="zh-CN"/>
        </w:rPr>
        <w:t>并网</w:t>
      </w:r>
      <w:bookmarkStart w:id="166" w:name="_GoBack"/>
      <w:bookmarkEnd w:id="166"/>
      <w:r>
        <w:rPr>
          <w:rFonts w:hint="eastAsia" w:ascii="仿宋_GB2312" w:hAnsi="仿宋_GB2312" w:eastAsia="仿宋_GB2312" w:cs="仿宋_GB2312"/>
          <w:b w:val="0"/>
          <w:bCs w:val="0"/>
          <w:color w:val="auto"/>
          <w:sz w:val="28"/>
          <w:szCs w:val="28"/>
          <w:highlight w:val="none"/>
        </w:rPr>
        <w:t>验收合格之日起计算</w:t>
      </w:r>
      <w:r>
        <w:rPr>
          <w:rFonts w:hint="eastAsia" w:ascii="仿宋_GB2312" w:hAnsi="仿宋_GB2312" w:eastAsia="仿宋_GB2312" w:cs="仿宋_GB2312"/>
          <w:color w:val="auto"/>
          <w:sz w:val="28"/>
          <w:szCs w:val="28"/>
          <w:highlight w:val="none"/>
          <w:lang w:val="en-US" w:eastAsia="zh-CN"/>
        </w:rPr>
        <w:t>，若乙方在响应文件中承诺质保期更长的，</w:t>
      </w:r>
      <w:r>
        <w:rPr>
          <w:rFonts w:hint="eastAsia" w:ascii="仿宋_GB2312" w:hAnsi="仿宋_GB2312" w:eastAsia="仿宋_GB2312" w:cs="仿宋_GB2312"/>
          <w:b w:val="0"/>
          <w:bCs w:val="0"/>
          <w:color w:val="auto"/>
          <w:sz w:val="28"/>
          <w:szCs w:val="28"/>
          <w:highlight w:val="none"/>
        </w:rPr>
        <w:t>双方同意以期限较长的为准</w:t>
      </w:r>
      <w:r>
        <w:rPr>
          <w:rFonts w:hint="eastAsia" w:ascii="仿宋_GB2312" w:hAnsi="仿宋_GB2312" w:eastAsia="仿宋_GB2312" w:cs="仿宋_GB2312"/>
          <w:color w:val="auto"/>
          <w:sz w:val="28"/>
          <w:szCs w:val="28"/>
          <w:highlight w:val="none"/>
          <w:lang w:val="en-US" w:eastAsia="zh-CN"/>
        </w:rPr>
        <w:t>。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FC458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7007D3A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147CE72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4.合同标的中若有进口产品，则乙方必须提供报关单原产地证明、单机产品序列号、原生产厂商质量保证书等证明材料。</w:t>
      </w:r>
    </w:p>
    <w:p w14:paraId="15E38B8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5.产品包装应符合国家标准。乙方应承担由于其包装或其防护措施不妥而引起货物锈蚀、损坏和丢失等任何损失的责任或费用。空包装物及包装箱乙方承诺不再回收，均无偿归甲方所有。</w:t>
      </w:r>
    </w:p>
    <w:p w14:paraId="1561DE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第五条  结算方式及期限</w:t>
      </w:r>
    </w:p>
    <w:p w14:paraId="2842E0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permStart w:id="7" w:edGrp="everyone"/>
      <w:r>
        <w:rPr>
          <w:rFonts w:hint="eastAsia" w:ascii="仿宋_GB2312" w:hAnsi="仿宋_GB2312" w:eastAsia="仿宋_GB2312" w:cs="仿宋_GB2312"/>
          <w:color w:val="auto"/>
          <w:sz w:val="28"/>
          <w:szCs w:val="28"/>
          <w:highlight w:val="none"/>
          <w:lang w:val="en-US" w:eastAsia="zh-CN"/>
        </w:rPr>
        <w:t>01包电缆：合同生效后，甲方支付合同总价款的30%作为预付款；材料全部送达甲方并经表象检验合格后一个月内或货到现场45日内（两者以先到的时间节点为准）支付至结算价的80%；项目整体验收合格付至结算价的97%，质保金为结算价的3%（可选择银行质量保函），在质保期届满后，无质量问题一次性无息支付。</w:t>
      </w:r>
    </w:p>
    <w:p w14:paraId="40A456C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02包变压器、03包断路器：合同生效后，甲方支付合同总价款的10%作为预付款；设备全部送达甲方并经表象检验合格后一个月内或货到现场45日内（两者以先到的时间节点为准）支付至结算价的70%；项目整体验收合格后一个月内或货到现场6个月内付至结算价的97%（两者以先到的时间节点为准），质保金为结算价的3%（可选择银行质量保函），在质保期届满后，无质量问题一次性无息支付。</w:t>
      </w:r>
    </w:p>
    <w:p w14:paraId="6553F54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04包预制舱、05包箱变：合同生效后，设备全部送达甲方并经表象检验合格后一个月内或货到现场45日内（两者以先到的时间节点为准）支付至结算价的70%；项目整体验收合格后一个月内或货到现场6个月内付至结算价的97%（两者以先到的时间节点为准），质保金为结算价的3%（可选择银行质量保函），在质保期届满后，无质量问题一次性无息支付。</w:t>
      </w:r>
    </w:p>
    <w:permEnd w:id="7"/>
    <w:p w14:paraId="3C88D3F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w:t>
      </w:r>
      <w:permStart w:id="8" w:edGrp="everyone"/>
      <w:permEnd w:id="8"/>
      <w:r>
        <w:rPr>
          <w:rFonts w:hint="eastAsia" w:ascii="仿宋_GB2312" w:hAnsi="仿宋_GB2312" w:eastAsia="仿宋_GB2312" w:cs="仿宋_GB2312"/>
          <w:color w:val="auto"/>
          <w:sz w:val="28"/>
          <w:szCs w:val="28"/>
          <w:highlight w:val="none"/>
          <w:lang w:val="en-US" w:eastAsia="zh-CN"/>
        </w:rPr>
        <w:t>何证明、收条、欠条、信函等文件，都不得作为结算、支付依据。若因乙方迟延提交对账清单，因此造成的损失由乙方自行承担。</w:t>
      </w:r>
    </w:p>
    <w:p w14:paraId="7C39155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2.成交公示后，在合同签订前，乙方需向甲方支付合同总价2%的履约保证金或提供合同总价5%的银行保函。</w:t>
      </w:r>
    </w:p>
    <w:p w14:paraId="166A6F8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3.乙方应当向甲方提供符合甲方财务要求的国家税务局13%增值税专用发票，发票需要做到“三流一致”，也即“货物、劳务及应税服务流”、“资金流”、“发票流”必须都是同一受票方。</w:t>
      </w:r>
    </w:p>
    <w:p w14:paraId="6FF04D7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4.双方特别约定：遵循“先开票、后付款”的原则，甲方付款前，乙方应按双方确认的应付金额向甲方提供增值税专用发票，并于发票开具后</w:t>
      </w:r>
      <w:permStart w:id="9" w:edGrp="everyone"/>
      <w:r>
        <w:rPr>
          <w:rFonts w:hint="eastAsia" w:ascii="仿宋_GB2312" w:hAnsi="仿宋_GB2312" w:eastAsia="仿宋_GB2312" w:cs="仿宋_GB2312"/>
          <w:color w:val="auto"/>
          <w:sz w:val="28"/>
          <w:szCs w:val="28"/>
          <w:highlight w:val="none"/>
          <w:u w:val="single"/>
          <w:lang w:val="en-US" w:eastAsia="zh-CN"/>
        </w:rPr>
        <w:t xml:space="preserve">  7  </w:t>
      </w:r>
      <w:permEnd w:id="9"/>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4F50846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5.如甲方出现资金困难，乙方同意给予</w:t>
      </w:r>
      <w:permStart w:id="10" w:edGrp="everyone"/>
      <w:r>
        <w:rPr>
          <w:rFonts w:hint="eastAsia" w:ascii="仿宋_GB2312" w:hAnsi="仿宋_GB2312" w:eastAsia="仿宋_GB2312" w:cs="仿宋_GB2312"/>
          <w:color w:val="auto"/>
          <w:sz w:val="28"/>
          <w:szCs w:val="28"/>
          <w:highlight w:val="none"/>
          <w:u w:val="single"/>
          <w:lang w:val="en-US" w:eastAsia="zh-CN"/>
        </w:rPr>
        <w:t xml:space="preserve">  1  </w:t>
      </w:r>
      <w:permEnd w:id="10"/>
      <w:r>
        <w:rPr>
          <w:rFonts w:hint="eastAsia" w:ascii="仿宋_GB2312" w:hAnsi="仿宋_GB2312" w:eastAsia="仿宋_GB2312" w:cs="仿宋_GB2312"/>
          <w:color w:val="auto"/>
          <w:sz w:val="28"/>
          <w:szCs w:val="28"/>
          <w:highlight w:val="none"/>
          <w:lang w:val="en-US" w:eastAsia="zh-CN"/>
        </w:rPr>
        <w:t>个月的付款宽限期，</w:t>
      </w:r>
      <w:bookmarkStart w:id="61"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61"/>
      <w:r>
        <w:rPr>
          <w:rFonts w:hint="eastAsia" w:ascii="仿宋_GB2312" w:hAnsi="仿宋_GB2312" w:eastAsia="仿宋_GB2312" w:cs="仿宋_GB2312"/>
          <w:color w:val="auto"/>
          <w:sz w:val="28"/>
          <w:szCs w:val="28"/>
          <w:highlight w:val="none"/>
          <w:lang w:val="en-US" w:eastAsia="zh-CN"/>
        </w:rPr>
        <w:t>乙方不得以此为由中断本项目的货物供应。</w:t>
      </w:r>
    </w:p>
    <w:p w14:paraId="179972F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若逾期履行，每逾期一日，乙方应按照逾期交货金额的20%向甲方支付逾期交货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13674E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6.乙方应按合同约定及时向甲方提供增值税专用发票，逾期提供的，每逾期一天，乙方应向甲方支付违约金</w:t>
      </w:r>
      <w:permStart w:id="11" w:edGrp="everyone"/>
      <w:r>
        <w:rPr>
          <w:rFonts w:hint="eastAsia" w:ascii="仿宋_GB2312" w:hAnsi="仿宋_GB2312" w:eastAsia="仿宋_GB2312" w:cs="仿宋_GB2312"/>
          <w:color w:val="auto"/>
          <w:sz w:val="28"/>
          <w:szCs w:val="28"/>
          <w:highlight w:val="none"/>
          <w:u w:val="single"/>
          <w:lang w:val="en-US" w:eastAsia="zh-CN"/>
        </w:rPr>
        <w:t xml:space="preserve"> 1000  </w:t>
      </w:r>
      <w:permEnd w:id="11"/>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8.乙方违反本合同义务，致使甲方通过法律途径向乙方主张权利的，乙方除应承担相应赔偿及费用外，还应承担甲方为此而支出的律师费、诉讼费等。</w:t>
      </w:r>
    </w:p>
    <w:p w14:paraId="6BEAABC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9.对于乙方因违反本合同约定需支付的违约金，甲方有权在应付货款中直接予以扣除。</w:t>
      </w:r>
    </w:p>
    <w:p w14:paraId="4A57C363">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10.禁止转包分包</w:t>
      </w:r>
    </w:p>
    <w:p w14:paraId="2A00926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4289E5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63D27C6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56B519F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54D3FA2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41D545F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2987E55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6F5C7F1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2.乙方必须服从甲方指定项目部的全面协调管理工作，乙方在装卸中，严格遵守执行安全操作规范、防火规定、工艺规范等规范规定以及质量标准。</w:t>
      </w:r>
    </w:p>
    <w:p w14:paraId="123F743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供货进度，不得拖延，如因乙方造成工期拖延，乙方将承担给甲方造成的一切损失。乙方应保证甲方项目施工现场整洁，做好成品保护及甲方财产保护工作。乙方应确保货物到现场装卸过程中的安全，对在装卸过程中发生的任何财产或人身损害承担赔偿责任。</w:t>
      </w:r>
    </w:p>
    <w:p w14:paraId="3C017B0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3E34817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6EE4696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4ACFB64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027D3C4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5880264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686FC4C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0D7DF1C3">
      <w:pPr>
        <w:pStyle w:val="7"/>
        <w:keepNext w:val="0"/>
        <w:keepLines w:val="0"/>
        <w:pageBreakBefore w:val="0"/>
        <w:widowControl w:val="0"/>
        <w:kinsoku/>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 xml:space="preserve"> 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7743C475">
      <w:pPr>
        <w:rPr>
          <w:rFonts w:hint="eastAsia"/>
          <w:highlight w:val="none"/>
          <w:lang w:val="en-US" w:eastAsia="zh-CN"/>
        </w:rPr>
      </w:pPr>
    </w:p>
    <w:p w14:paraId="0BD59A6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4D6DF4F2">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22075E0F">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65694BDE">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4F9D5852">
      <w:pPr>
        <w:bidi w:val="0"/>
        <w:rPr>
          <w:rFonts w:hint="eastAsia"/>
          <w:highlight w:val="none"/>
          <w:lang w:val="en-US" w:eastAsia="zh-CN"/>
        </w:rPr>
      </w:pPr>
    </w:p>
    <w:p w14:paraId="76849AEB">
      <w:pPr>
        <w:bidi w:val="0"/>
        <w:rPr>
          <w:rFonts w:hint="eastAsia"/>
          <w:highlight w:val="none"/>
          <w:lang w:val="en-US" w:eastAsia="zh-CN"/>
        </w:rPr>
      </w:pPr>
    </w:p>
    <w:p w14:paraId="011E400E">
      <w:pPr>
        <w:bidi w:val="0"/>
        <w:rPr>
          <w:rFonts w:hint="eastAsia"/>
          <w:highlight w:val="none"/>
          <w:lang w:val="en-US" w:eastAsia="zh-CN"/>
        </w:rPr>
      </w:pPr>
    </w:p>
    <w:p w14:paraId="65D99D16">
      <w:pPr>
        <w:bidi w:val="0"/>
        <w:rPr>
          <w:rFonts w:hint="eastAsia"/>
          <w:highlight w:val="none"/>
          <w:lang w:val="en-US" w:eastAsia="zh-CN"/>
        </w:rPr>
      </w:pPr>
    </w:p>
    <w:p w14:paraId="25AF248A">
      <w:pPr>
        <w:bidi w:val="0"/>
        <w:rPr>
          <w:rFonts w:hint="eastAsia"/>
          <w:highlight w:val="none"/>
          <w:lang w:val="en-US" w:eastAsia="zh-CN"/>
        </w:rPr>
      </w:pPr>
    </w:p>
    <w:p w14:paraId="36014B66">
      <w:pPr>
        <w:bidi w:val="0"/>
        <w:rPr>
          <w:rFonts w:hint="eastAsia"/>
          <w:highlight w:val="none"/>
          <w:lang w:val="en-US" w:eastAsia="zh-CN"/>
        </w:rPr>
      </w:pPr>
    </w:p>
    <w:p w14:paraId="23857B6B">
      <w:pPr>
        <w:bidi w:val="0"/>
        <w:rPr>
          <w:rFonts w:hint="eastAsia"/>
          <w:highlight w:val="none"/>
          <w:lang w:val="en-US" w:eastAsia="zh-CN"/>
        </w:rPr>
      </w:pPr>
    </w:p>
    <w:p w14:paraId="60FA806F">
      <w:pPr>
        <w:bidi w:val="0"/>
        <w:rPr>
          <w:rFonts w:hint="eastAsia"/>
          <w:highlight w:val="none"/>
          <w:lang w:val="en-US" w:eastAsia="zh-CN"/>
        </w:rPr>
      </w:pPr>
    </w:p>
    <w:p w14:paraId="350EB8C5">
      <w:pPr>
        <w:bidi w:val="0"/>
        <w:rPr>
          <w:rFonts w:hint="eastAsia"/>
          <w:highlight w:val="none"/>
          <w:lang w:val="en-US" w:eastAsia="zh-CN"/>
        </w:rPr>
      </w:pPr>
    </w:p>
    <w:p w14:paraId="5B0348C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12"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65927F4">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36824E4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2A8ABE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59A0E7A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40A6FA8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2CF1132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55D8107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FB6645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45FC03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电子邮箱：                         电子邮箱：</w:t>
      </w:r>
    </w:p>
    <w:p w14:paraId="6A1181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 w14:paraId="0C91BF55">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2222C991">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start="18"/>
          <w:cols w:space="425" w:num="1"/>
          <w:docGrid w:type="lines" w:linePitch="312" w:charSpace="0"/>
        </w:sectPr>
      </w:pPr>
    </w:p>
    <w:permEnd w:id="12"/>
    <w:p w14:paraId="0F52E6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31CB1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56660163">
      <w:pPr>
        <w:pStyle w:val="7"/>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434A91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3" w:edGrp="everyone"/>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13"/>
      <w:r>
        <w:rPr>
          <w:rFonts w:hint="eastAsia" w:ascii="仿宋_GB2312" w:hAnsi="仿宋_GB2312" w:eastAsia="仿宋_GB2312" w:cs="仿宋_GB2312"/>
          <w:color w:val="auto"/>
          <w:sz w:val="28"/>
          <w:szCs w:val="28"/>
          <w:highlight w:val="none"/>
          <w:lang w:val="en-US" w:eastAsia="zh-CN"/>
        </w:rPr>
        <w:t>项目名称）的采购人</w:t>
      </w:r>
      <w:permStart w:id="14"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14"/>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7FE59BB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4C39B8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26219C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6"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6"/>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7862672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4FB00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4E0C217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5FCFD0F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6CE541D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2D88AE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4D76F22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60089F7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4CAA685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599B46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343AC0B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5F8318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1153C98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7AF23A8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6276780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74EC0DF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4D896FB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6F041F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531620D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7B380B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689A0F5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38BB8DC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7E29E84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234B9C9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7" w:edGrp="everyone"/>
      <w:r>
        <w:rPr>
          <w:rFonts w:hint="eastAsia" w:ascii="仿宋_GB2312" w:hAnsi="仿宋_GB2312" w:eastAsia="仿宋_GB2312" w:cs="仿宋_GB2312"/>
          <w:color w:val="auto"/>
          <w:sz w:val="28"/>
          <w:szCs w:val="28"/>
          <w:highlight w:val="none"/>
          <w:u w:val="single"/>
          <w:lang w:val="en-US" w:eastAsia="zh-CN"/>
        </w:rPr>
        <w:t xml:space="preserve">                             </w:t>
      </w:r>
      <w:permEnd w:id="17"/>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39CE799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3A06F4AB">
      <w:pPr>
        <w:pStyle w:val="7"/>
        <w:rPr>
          <w:rFonts w:hint="eastAsia" w:ascii="仿宋_GB2312" w:hAnsi="仿宋_GB2312" w:eastAsia="仿宋_GB2312" w:cs="仿宋_GB2312"/>
          <w:color w:val="auto"/>
          <w:sz w:val="28"/>
          <w:szCs w:val="28"/>
          <w:highlight w:val="none"/>
          <w:lang w:val="en-US" w:eastAsia="zh-CN"/>
        </w:rPr>
      </w:pPr>
    </w:p>
    <w:p w14:paraId="5FCDF473">
      <w:pPr>
        <w:rPr>
          <w:rFonts w:hint="eastAsia"/>
          <w:highlight w:val="none"/>
        </w:rPr>
      </w:pPr>
    </w:p>
    <w:p w14:paraId="6018CFA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32F1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1EFDA93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EC94E6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6103A044">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08205FB7">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55AA4911">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ermStart w:id="18" w:edGrp="everyone"/>
      <w:permEnd w:id="18"/>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5D61DE67">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084403F9">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1E0AFE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permStart w:id="19" w:edGrp="everyone"/>
      <w:r>
        <w:rPr>
          <w:rFonts w:hint="eastAsia" w:ascii="仿宋_GB2312" w:hAnsi="仿宋_GB2312" w:eastAsia="仿宋_GB2312" w:cs="仿宋_GB2312"/>
          <w:color w:val="auto"/>
          <w:spacing w:val="0"/>
          <w:sz w:val="28"/>
          <w:szCs w:val="28"/>
          <w:highlight w:val="none"/>
          <w:lang w:val="en-US" w:eastAsia="zh-CN"/>
        </w:rPr>
        <w:t xml:space="preserve">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19"/>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的实施过程中创造安全、高效的施工环境，切实搞好本项目的安全管理工作，本项目</w:t>
      </w:r>
      <w:r>
        <w:rPr>
          <w:rFonts w:hint="eastAsia" w:ascii="仿宋_GB2312" w:hAnsi="仿宋_GB2312" w:eastAsia="仿宋_GB2312" w:cs="仿宋_GB2312"/>
          <w:color w:val="auto"/>
          <w:sz w:val="28"/>
          <w:szCs w:val="28"/>
          <w:highlight w:val="none"/>
          <w:lang w:val="en-US" w:eastAsia="zh-CN"/>
        </w:rPr>
        <w:t xml:space="preserve">采购人 </w:t>
      </w:r>
      <w:permStart w:id="20" w:edGrp="everyone"/>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20"/>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21" w:edGrp="everyone"/>
      <w:r>
        <w:rPr>
          <w:rFonts w:hint="eastAsia" w:ascii="仿宋_GB2312" w:hAnsi="仿宋_GB2312" w:eastAsia="仿宋_GB2312" w:cs="仿宋_GB2312"/>
          <w:color w:val="auto"/>
          <w:sz w:val="28"/>
          <w:szCs w:val="28"/>
          <w:highlight w:val="none"/>
          <w:u w:val="single"/>
          <w:lang w:val="en-US" w:eastAsia="zh-CN"/>
        </w:rPr>
        <w:t xml:space="preserve">              </w:t>
      </w:r>
      <w:permEnd w:id="21"/>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1B8429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相关安全法律、行政法规和规章，在平等、自愿、公平和诚实信用的原则下，双方就材料供应、运输安全事项协商一致，双方达成如下协议：</w:t>
      </w:r>
    </w:p>
    <w:p w14:paraId="3944E10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77835F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二、甲方负责提供材料堆放场地，乙方负责供应及运输。</w:t>
      </w:r>
    </w:p>
    <w:p w14:paraId="4FE82EE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7DD1C92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ED54A33">
      <w:pPr>
        <w:pStyle w:val="7"/>
        <w:rPr>
          <w:rFonts w:hint="eastAsia"/>
          <w:highlight w:val="none"/>
        </w:rPr>
      </w:pPr>
    </w:p>
    <w:p w14:paraId="4ED18A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w:t>
      </w:r>
    </w:p>
    <w:p w14:paraId="56148E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六、乙方应确保货物在卸载过程中，装卸工有安全防护措施，发现不安全因素，及时处理。在甲方区域，禁止出现无证操作、无证驾驶现象。</w:t>
      </w:r>
    </w:p>
    <w:p w14:paraId="5FF92A9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32AFB5D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及供应</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14:paraId="19DCEA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 xml:space="preserve">、争议的解决 </w:t>
      </w:r>
    </w:p>
    <w:p w14:paraId="4D02837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415C444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267A6A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6A02ACD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0764EC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1F3E87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4A40F42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3F22C5A6">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ermStart w:id="22" w:edGrp="everyone"/>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p>
    <w:p w14:paraId="19315F8C">
      <w:pPr>
        <w:pStyle w:val="19"/>
        <w:keepNext w:val="0"/>
        <w:keepLines w:val="0"/>
        <w:pageBreakBefore w:val="0"/>
        <w:kinsoku/>
        <w:wordWrap/>
        <w:overflowPunct/>
        <w:topLinePunct w:val="0"/>
        <w:autoSpaceDE/>
        <w:autoSpaceDN/>
        <w:bidi w:val="0"/>
        <w:adjustRightInd/>
        <w:snapToGrid/>
        <w:spacing w:line="560" w:lineRule="exact"/>
        <w:ind w:left="0" w:firstLine="883" w:firstLineChars="20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19F9F721">
      <w:pPr>
        <w:rPr>
          <w:rFonts w:hint="default"/>
          <w:color w:val="auto"/>
          <w:highlight w:val="none"/>
          <w:lang w:val="en-US" w:eastAsia="zh-CN"/>
        </w:rPr>
      </w:pPr>
    </w:p>
    <w:p w14:paraId="4F49578F">
      <w:pPr>
        <w:rPr>
          <w:rFonts w:hint="default"/>
          <w:color w:val="auto"/>
          <w:highlight w:val="none"/>
          <w:lang w:val="en-US" w:eastAsia="zh-CN"/>
        </w:rPr>
      </w:pPr>
    </w:p>
    <w:p w14:paraId="28A569E7">
      <w:pPr>
        <w:rPr>
          <w:rFonts w:hint="default"/>
          <w:color w:val="auto"/>
          <w:highlight w:val="none"/>
          <w:lang w:val="en-US" w:eastAsia="zh-CN"/>
        </w:rPr>
      </w:pPr>
    </w:p>
    <w:p w14:paraId="39F3AD63">
      <w:pPr>
        <w:rPr>
          <w:rFonts w:hint="default"/>
          <w:color w:val="auto"/>
          <w:highlight w:val="none"/>
          <w:lang w:val="en-US" w:eastAsia="zh-CN"/>
        </w:rPr>
      </w:pPr>
    </w:p>
    <w:p w14:paraId="6DFF2EDD">
      <w:pPr>
        <w:rPr>
          <w:rFonts w:hint="default"/>
          <w:color w:val="auto"/>
          <w:highlight w:val="none"/>
          <w:lang w:val="en-US" w:eastAsia="zh-CN"/>
        </w:rPr>
      </w:pPr>
    </w:p>
    <w:permEnd w:id="22"/>
    <w:p w14:paraId="1697D63E">
      <w:pPr>
        <w:pStyle w:val="7"/>
        <w:rPr>
          <w:rFonts w:hint="default"/>
          <w:highlight w:val="none"/>
          <w:lang w:val="en-US" w:eastAsia="zh-CN"/>
        </w:rPr>
      </w:pPr>
    </w:p>
    <w:p w14:paraId="722BE3F8"/>
    <w:p w14:paraId="32014ECB">
      <w:pPr>
        <w:adjustRightInd w:val="0"/>
        <w:snapToGrid w:val="0"/>
        <w:spacing w:line="360" w:lineRule="auto"/>
        <w:ind w:firstLine="560" w:firstLineChars="200"/>
        <w:rPr>
          <w:rFonts w:hint="eastAsia" w:ascii="宋体" w:hAnsi="宋体"/>
          <w:color w:val="auto"/>
          <w:sz w:val="28"/>
          <w:szCs w:val="28"/>
          <w:u w:val="none"/>
          <w:lang w:eastAsia="zh-CN"/>
        </w:rPr>
      </w:pPr>
    </w:p>
    <w:p w14:paraId="1D256B70">
      <w:pPr>
        <w:spacing w:line="560" w:lineRule="exact"/>
        <w:ind w:firstLine="420" w:firstLineChars="200"/>
        <w:rPr>
          <w:color w:val="auto"/>
        </w:rPr>
      </w:pPr>
    </w:p>
    <w:p w14:paraId="68B29704">
      <w:pPr>
        <w:pStyle w:val="18"/>
        <w:ind w:firstLine="210"/>
        <w:rPr>
          <w:color w:val="auto"/>
        </w:rPr>
      </w:pPr>
    </w:p>
    <w:p w14:paraId="26585D94">
      <w:pPr>
        <w:rPr>
          <w:rFonts w:hint="eastAsia" w:eastAsiaTheme="minorEastAsia"/>
          <w:color w:val="auto"/>
          <w:lang w:val="en-US" w:eastAsia="zh-CN"/>
        </w:rPr>
      </w:pPr>
      <w:r>
        <w:rPr>
          <w:rFonts w:hint="eastAsia"/>
          <w:color w:val="auto"/>
        </w:rPr>
        <w:br w:type="page"/>
      </w:r>
    </w:p>
    <w:p w14:paraId="7716C8C6">
      <w:pPr>
        <w:pStyle w:val="2"/>
        <w:numPr>
          <w:ilvl w:val="0"/>
          <w:numId w:val="0"/>
        </w:numPr>
        <w:spacing w:before="312" w:after="312"/>
        <w:ind w:leftChars="0"/>
        <w:rPr>
          <w:rFonts w:ascii="Times New Roman" w:hAnsi="Times New Roman" w:eastAsia="宋体" w:cs="Times New Roman"/>
          <w:color w:val="auto"/>
        </w:rPr>
      </w:pPr>
      <w:bookmarkStart w:id="62" w:name="_Toc3437"/>
      <w:r>
        <w:rPr>
          <w:rFonts w:hint="eastAsia" w:ascii="Times New Roman" w:hAnsi="Times New Roman" w:eastAsia="宋体" w:cs="Times New Roman"/>
          <w:color w:val="auto"/>
          <w:lang w:val="en-US" w:eastAsia="zh-CN"/>
        </w:rPr>
        <w:t xml:space="preserve">第五章 </w:t>
      </w:r>
      <w:r>
        <w:rPr>
          <w:rFonts w:hint="eastAsia" w:ascii="Times New Roman" w:hAnsi="Times New Roman" w:eastAsia="宋体" w:cs="Times New Roman"/>
          <w:color w:val="auto"/>
        </w:rPr>
        <w:t>供货要</w:t>
      </w:r>
      <w:r>
        <w:rPr>
          <w:rFonts w:ascii="Times New Roman" w:hAnsi="Times New Roman" w:eastAsia="宋体" w:cs="Times New Roman"/>
          <w:color w:val="auto"/>
        </w:rPr>
        <w:t>求及清单</w:t>
      </w:r>
      <w:bookmarkEnd w:id="62"/>
    </w:p>
    <w:p w14:paraId="59E52AAF">
      <w:pPr>
        <w:pStyle w:val="18"/>
        <w:numPr>
          <w:ilvl w:val="0"/>
          <w:numId w:val="0"/>
        </w:numPr>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一、供货要求</w:t>
      </w:r>
    </w:p>
    <w:p w14:paraId="1DF11D0E">
      <w:pPr>
        <w:snapToGrid w:val="0"/>
        <w:spacing w:line="400" w:lineRule="exact"/>
        <w:jc w:val="left"/>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具体详见附件：技术规格书。</w:t>
      </w:r>
    </w:p>
    <w:p w14:paraId="31616AE3">
      <w:pPr>
        <w:pStyle w:val="18"/>
        <w:numPr>
          <w:ilvl w:val="0"/>
          <w:numId w:val="0"/>
        </w:numPr>
        <w:jc w:val="center"/>
        <w:rPr>
          <w:rFonts w:hint="eastAsia" w:ascii="宋体" w:hAnsi="宋体" w:cs="宋体"/>
          <w:b/>
          <w:color w:val="auto"/>
          <w:sz w:val="28"/>
          <w:szCs w:val="28"/>
          <w:highlight w:val="none"/>
          <w:lang w:val="en-US" w:eastAsia="zh-CN"/>
        </w:rPr>
      </w:pPr>
    </w:p>
    <w:p w14:paraId="0DCA3ED5">
      <w:pPr>
        <w:pStyle w:val="18"/>
        <w:numPr>
          <w:ilvl w:val="0"/>
          <w:numId w:val="0"/>
        </w:numPr>
        <w:jc w:val="center"/>
        <w:rPr>
          <w:rFonts w:hint="eastAsia" w:ascii="宋体" w:hAnsi="宋体" w:cs="宋体"/>
          <w:b/>
          <w:color w:val="auto"/>
          <w:sz w:val="28"/>
          <w:szCs w:val="28"/>
          <w:highlight w:val="none"/>
          <w:lang w:val="en-US" w:eastAsia="zh-CN"/>
        </w:rPr>
      </w:pPr>
    </w:p>
    <w:p w14:paraId="45C5A6E3">
      <w:pPr>
        <w:pStyle w:val="18"/>
        <w:numPr>
          <w:ilvl w:val="0"/>
          <w:numId w:val="0"/>
        </w:numPr>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lang w:val="en-US" w:eastAsia="zh-CN"/>
        </w:rPr>
        <w:t>二、</w:t>
      </w:r>
      <w:r>
        <w:rPr>
          <w:rFonts w:hint="eastAsia" w:ascii="宋体" w:hAnsi="宋体" w:cs="宋体"/>
          <w:b/>
          <w:color w:val="auto"/>
          <w:sz w:val="28"/>
          <w:szCs w:val="28"/>
          <w:highlight w:val="none"/>
        </w:rPr>
        <w:t>材料报价清单</w:t>
      </w:r>
    </w:p>
    <w:p w14:paraId="38514539">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4339437">
      <w:pPr>
        <w:pStyle w:val="7"/>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rPr>
        <w:t>备注：</w:t>
      </w:r>
      <w:r>
        <w:rPr>
          <w:rFonts w:hint="eastAsia" w:ascii="宋体" w:hAnsi="宋体" w:cs="宋体"/>
          <w:color w:val="auto"/>
          <w:sz w:val="24"/>
          <w:szCs w:val="24"/>
          <w:highlight w:val="none"/>
        </w:rPr>
        <w:t>1.上述费用包括货物的原材料、生产、包装、运输、保险、卸货叉车费（如有）、人工费、卸车费、利润、税费等相关费用。</w:t>
      </w:r>
    </w:p>
    <w:p w14:paraId="0E76C90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726843D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供应货物第三方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51A7DD4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B07798">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供应货物的</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w:t>
      </w:r>
      <w:r>
        <w:rPr>
          <w:rFonts w:hint="eastAsia" w:ascii="宋体" w:hAnsi="宋体" w:cs="宋体"/>
          <w:color w:val="auto"/>
          <w:sz w:val="24"/>
          <w:szCs w:val="24"/>
          <w:highlight w:val="none"/>
          <w:lang w:val="en-US" w:eastAsia="zh-CN"/>
        </w:rPr>
        <w:t>关于供应货物的</w:t>
      </w:r>
      <w:r>
        <w:rPr>
          <w:rFonts w:hint="eastAsia" w:ascii="宋体" w:hAnsi="宋体" w:cs="宋体"/>
          <w:color w:val="auto"/>
          <w:sz w:val="24"/>
          <w:szCs w:val="24"/>
          <w:highlight w:val="none"/>
        </w:rPr>
        <w:t>采购、进场工作，并承担因送货次数增加而引起的运输成本增加等相应风险。</w:t>
      </w:r>
    </w:p>
    <w:p w14:paraId="6078277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36804B37">
      <w:pPr>
        <w:snapToGrid w:val="0"/>
        <w:spacing w:line="400" w:lineRule="exact"/>
        <w:ind w:firstLine="480" w:firstLineChars="200"/>
        <w:jc w:val="left"/>
        <w:rPr>
          <w:rFonts w:hint="eastAsia" w:ascii="宋体" w:hAnsi="宋体" w:cs="宋体"/>
          <w:color w:val="auto"/>
          <w:sz w:val="24"/>
          <w:szCs w:val="24"/>
          <w:highlight w:val="none"/>
        </w:rPr>
      </w:pPr>
    </w:p>
    <w:p w14:paraId="34F80634">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2A12D55B">
      <w:pPr>
        <w:pStyle w:val="2"/>
        <w:numPr>
          <w:ilvl w:val="255"/>
          <w:numId w:val="0"/>
        </w:numPr>
        <w:spacing w:before="312" w:after="312"/>
        <w:ind w:left="402"/>
        <w:rPr>
          <w:rFonts w:ascii="Times New Roman" w:hAnsi="Times New Roman" w:eastAsia="宋体" w:cs="Times New Roman"/>
          <w:color w:val="auto"/>
        </w:rPr>
      </w:pPr>
      <w:bookmarkStart w:id="63" w:name="_Toc6979"/>
      <w:r>
        <w:rPr>
          <w:rFonts w:hint="eastAsia" w:ascii="Times New Roman" w:hAnsi="Times New Roman" w:eastAsia="宋体" w:cs="Times New Roman"/>
          <w:color w:val="auto"/>
        </w:rPr>
        <w:t>第六章 响应文件格式</w:t>
      </w:r>
      <w:bookmarkEnd w:id="63"/>
    </w:p>
    <w:p w14:paraId="2F8FBD15">
      <w:pPr>
        <w:jc w:val="left"/>
        <w:rPr>
          <w:rFonts w:ascii="Times New Roman" w:hAnsi="Times New Roman" w:eastAsia="宋体" w:cs="Times New Roman"/>
          <w:color w:val="auto"/>
        </w:rPr>
      </w:pPr>
      <w:r>
        <w:rPr>
          <w:rFonts w:ascii="Times New Roman" w:hAnsi="Times New Roman" w:eastAsia="宋体" w:cs="Times New Roman"/>
          <w:color w:val="auto"/>
        </w:rPr>
        <w:br w:type="page"/>
      </w:r>
    </w:p>
    <w:p w14:paraId="38558ADF">
      <w:pPr>
        <w:spacing w:line="440" w:lineRule="exact"/>
        <w:jc w:val="center"/>
        <w:rPr>
          <w:rFonts w:hint="eastAsia" w:ascii="宋体" w:hAnsi="宋体" w:eastAsia="宋体" w:cs="宋体"/>
          <w:b/>
          <w:bCs/>
          <w:color w:val="auto"/>
          <w:kern w:val="0"/>
          <w:sz w:val="36"/>
          <w:szCs w:val="36"/>
          <w:u w:val="single"/>
        </w:rPr>
      </w:pPr>
    </w:p>
    <w:p w14:paraId="44BD6859">
      <w:pPr>
        <w:spacing w:line="360" w:lineRule="auto"/>
        <w:jc w:val="center"/>
        <w:outlineLvl w:val="0"/>
        <w:rPr>
          <w:rFonts w:hint="eastAsia" w:ascii="微软雅黑" w:hAnsi="微软雅黑" w:eastAsia="微软雅黑" w:cs="微软雅黑"/>
          <w:color w:val="auto"/>
          <w:sz w:val="48"/>
          <w:szCs w:val="48"/>
          <w:highlight w:val="none"/>
        </w:rPr>
      </w:pPr>
      <w:bookmarkStart w:id="64" w:name="_Toc20163"/>
      <w:bookmarkStart w:id="65" w:name="_Toc6370"/>
      <w:bookmarkStart w:id="66" w:name="_Toc11333"/>
      <w:bookmarkStart w:id="67" w:name="_Toc15728"/>
      <w:bookmarkStart w:id="68" w:name="_Toc1386"/>
      <w:bookmarkStart w:id="69" w:name="_Toc12530_WPSOffice_Level1"/>
      <w:bookmarkStart w:id="70" w:name="_Toc15033"/>
      <w:bookmarkStart w:id="71" w:name="_Toc31127_WPSOffice_Level1"/>
      <w:bookmarkStart w:id="72" w:name="_Toc8695_WPSOffice_Level1"/>
      <w:bookmarkStart w:id="73" w:name="_Toc18668_WPSOffice_Level1"/>
      <w:bookmarkStart w:id="74" w:name="_Toc13190_WPSOffice_Level1"/>
      <w:bookmarkStart w:id="75" w:name="_Toc28026"/>
      <w:bookmarkStart w:id="76" w:name="_Toc7337"/>
      <w:bookmarkStart w:id="77" w:name="_Toc32350_WPSOffice_Level1"/>
      <w:bookmarkStart w:id="78" w:name="_Toc14563_WPSOffice_Level1"/>
      <w:r>
        <w:rPr>
          <w:rFonts w:hint="eastAsia" w:ascii="微软雅黑" w:hAnsi="微软雅黑" w:eastAsia="微软雅黑" w:cs="微软雅黑"/>
          <w:color w:val="FF0000"/>
          <w:sz w:val="44"/>
          <w:szCs w:val="44"/>
          <w:highlight w:val="none"/>
          <w:u w:val="single"/>
          <w:lang w:eastAsia="zh-CN"/>
        </w:rPr>
        <w:t>安徽省部分高速公路81.85MW配套新能源EPC项目电缆、变压器、断路器、预制舱、箱变采购项目</w:t>
      </w:r>
      <w:r>
        <w:rPr>
          <w:rFonts w:hint="eastAsia" w:ascii="微软雅黑" w:hAnsi="微软雅黑" w:eastAsia="微软雅黑" w:cs="微软雅黑"/>
          <w:color w:val="FF0000"/>
          <w:sz w:val="44"/>
          <w:szCs w:val="44"/>
          <w:highlight w:val="none"/>
          <w:u w:val="single"/>
          <w:lang w:val="en-US" w:eastAsia="zh-CN"/>
        </w:rPr>
        <w:t>XX包段XX</w:t>
      </w:r>
      <w:r>
        <w:rPr>
          <w:rFonts w:hint="eastAsia" w:ascii="微软雅黑" w:hAnsi="微软雅黑" w:eastAsia="微软雅黑" w:cs="微软雅黑"/>
          <w:color w:val="FF0000"/>
          <w:sz w:val="44"/>
          <w:szCs w:val="44"/>
          <w:highlight w:val="none"/>
          <w:u w:val="single"/>
          <w:lang w:eastAsia="zh-CN"/>
        </w:rPr>
        <w:t>材料</w:t>
      </w:r>
      <w:bookmarkEnd w:id="64"/>
      <w:bookmarkEnd w:id="65"/>
      <w:bookmarkEnd w:id="66"/>
      <w:bookmarkEnd w:id="67"/>
      <w:bookmarkEnd w:id="68"/>
      <w:r>
        <w:rPr>
          <w:rFonts w:hint="eastAsia" w:ascii="微软雅黑" w:hAnsi="微软雅黑" w:eastAsia="微软雅黑" w:cs="微软雅黑"/>
          <w:color w:val="auto"/>
          <w:sz w:val="48"/>
          <w:szCs w:val="48"/>
          <w:highlight w:val="none"/>
        </w:rPr>
        <w:t xml:space="preserve">  </w:t>
      </w:r>
    </w:p>
    <w:p w14:paraId="31590848">
      <w:pPr>
        <w:spacing w:line="440" w:lineRule="exact"/>
        <w:rPr>
          <w:rFonts w:ascii="Times New Roman" w:hAnsi="Times New Roman" w:eastAsia="黑体" w:cs="Times New Roman"/>
          <w:color w:val="auto"/>
          <w:sz w:val="24"/>
        </w:rPr>
      </w:pPr>
    </w:p>
    <w:p w14:paraId="3F9F85DA">
      <w:pPr>
        <w:spacing w:line="440" w:lineRule="exact"/>
        <w:rPr>
          <w:rFonts w:ascii="Times New Roman" w:hAnsi="Times New Roman" w:eastAsia="黑体" w:cs="Times New Roman"/>
          <w:color w:val="auto"/>
          <w:sz w:val="20"/>
          <w:szCs w:val="20"/>
        </w:rPr>
      </w:pPr>
      <w:r>
        <w:rPr>
          <w:rFonts w:ascii="Times New Roman" w:hAnsi="Times New Roman" w:eastAsia="黑体" w:cs="Times New Roman"/>
          <w:color w:val="auto"/>
          <w:sz w:val="20"/>
          <w:szCs w:val="20"/>
        </w:rPr>
        <w:t xml:space="preserve"> </w:t>
      </w:r>
    </w:p>
    <w:p w14:paraId="65DED1E9">
      <w:pPr>
        <w:spacing w:line="440" w:lineRule="exact"/>
        <w:rPr>
          <w:rFonts w:ascii="Times New Roman" w:hAnsi="Times New Roman" w:eastAsia="黑体" w:cs="Times New Roman"/>
          <w:color w:val="auto"/>
          <w:sz w:val="40"/>
          <w:szCs w:val="40"/>
        </w:rPr>
      </w:pPr>
    </w:p>
    <w:p w14:paraId="3027D00E">
      <w:pPr>
        <w:spacing w:line="440" w:lineRule="exact"/>
        <w:jc w:val="center"/>
        <w:rPr>
          <w:rFonts w:ascii="Times New Roman" w:hAnsi="Times New Roman" w:eastAsia="黑体" w:cs="Times New Roman"/>
          <w:color w:val="auto"/>
          <w:sz w:val="40"/>
          <w:szCs w:val="40"/>
        </w:rPr>
      </w:pPr>
    </w:p>
    <w:p w14:paraId="02657EF5">
      <w:pPr>
        <w:spacing w:line="440" w:lineRule="exact"/>
        <w:jc w:val="center"/>
        <w:rPr>
          <w:rFonts w:ascii="Times New Roman" w:hAnsi="Times New Roman" w:eastAsia="黑体" w:cs="Times New Roman"/>
          <w:color w:val="auto"/>
          <w:sz w:val="40"/>
          <w:szCs w:val="40"/>
        </w:rPr>
      </w:pPr>
    </w:p>
    <w:p w14:paraId="0AC436A1">
      <w:pPr>
        <w:spacing w:line="440" w:lineRule="exact"/>
        <w:jc w:val="center"/>
        <w:rPr>
          <w:rFonts w:ascii="Times New Roman" w:hAnsi="Times New Roman" w:eastAsia="黑体" w:cs="Times New Roman"/>
          <w:color w:val="auto"/>
          <w:sz w:val="40"/>
          <w:szCs w:val="40"/>
        </w:rPr>
      </w:pPr>
    </w:p>
    <w:p w14:paraId="06FC6E7B">
      <w:pPr>
        <w:jc w:val="center"/>
        <w:rPr>
          <w:rFonts w:ascii="Times New Roman" w:hAnsi="Times New Roman" w:eastAsia="黑体" w:cs="Times New Roman"/>
          <w:color w:val="auto"/>
          <w:sz w:val="20"/>
          <w:szCs w:val="20"/>
        </w:rPr>
      </w:pPr>
      <w:bookmarkStart w:id="79" w:name="_Toc26260_WPSOffice_Level1"/>
      <w:bookmarkStart w:id="80" w:name="_Toc15083_WPSOffice_Level1"/>
      <w:bookmarkStart w:id="81" w:name="_Toc25266_WPSOffice_Level1"/>
      <w:r>
        <w:rPr>
          <w:rFonts w:ascii="Times New Roman" w:hAnsi="Times New Roman" w:eastAsia="黑体" w:cs="Times New Roman"/>
          <w:color w:val="auto"/>
          <w:sz w:val="50"/>
          <w:szCs w:val="50"/>
        </w:rPr>
        <w:t>响  应  文  件</w:t>
      </w:r>
      <w:bookmarkEnd w:id="79"/>
      <w:bookmarkEnd w:id="80"/>
      <w:bookmarkEnd w:id="81"/>
    </w:p>
    <w:p w14:paraId="4F9767E7">
      <w:pPr>
        <w:spacing w:line="440" w:lineRule="exact"/>
        <w:rPr>
          <w:rFonts w:ascii="Times New Roman" w:hAnsi="Times New Roman" w:eastAsia="黑体" w:cs="Times New Roman"/>
          <w:color w:val="auto"/>
          <w:sz w:val="20"/>
          <w:szCs w:val="20"/>
        </w:rPr>
      </w:pPr>
    </w:p>
    <w:p w14:paraId="7F0EE78D">
      <w:pPr>
        <w:spacing w:line="440" w:lineRule="exact"/>
        <w:rPr>
          <w:rFonts w:ascii="Times New Roman" w:hAnsi="Times New Roman" w:eastAsia="黑体" w:cs="Times New Roman"/>
          <w:color w:val="auto"/>
          <w:sz w:val="20"/>
          <w:szCs w:val="20"/>
        </w:rPr>
      </w:pPr>
    </w:p>
    <w:p w14:paraId="79D60AA9">
      <w:pPr>
        <w:spacing w:line="440" w:lineRule="exact"/>
        <w:rPr>
          <w:rFonts w:ascii="Times New Roman" w:hAnsi="Times New Roman" w:eastAsia="黑体" w:cs="Times New Roman"/>
          <w:color w:val="auto"/>
          <w:sz w:val="20"/>
          <w:szCs w:val="20"/>
        </w:rPr>
      </w:pPr>
    </w:p>
    <w:p w14:paraId="2363F659">
      <w:pPr>
        <w:spacing w:line="440" w:lineRule="exact"/>
        <w:rPr>
          <w:rFonts w:ascii="Times New Roman" w:hAnsi="Times New Roman" w:eastAsia="黑体" w:cs="Times New Roman"/>
          <w:color w:val="auto"/>
          <w:sz w:val="20"/>
          <w:szCs w:val="20"/>
        </w:rPr>
      </w:pPr>
    </w:p>
    <w:p w14:paraId="4CEE7F09">
      <w:pPr>
        <w:spacing w:line="440" w:lineRule="exact"/>
        <w:rPr>
          <w:rFonts w:ascii="Times New Roman" w:hAnsi="Times New Roman" w:eastAsia="黑体" w:cs="Times New Roman"/>
          <w:color w:val="auto"/>
          <w:sz w:val="20"/>
          <w:szCs w:val="20"/>
        </w:rPr>
      </w:pPr>
    </w:p>
    <w:p w14:paraId="748C59C7">
      <w:pPr>
        <w:spacing w:line="440" w:lineRule="exact"/>
        <w:rPr>
          <w:rFonts w:ascii="Times New Roman" w:hAnsi="Times New Roman" w:eastAsia="黑体" w:cs="Times New Roman"/>
          <w:color w:val="auto"/>
          <w:sz w:val="20"/>
          <w:szCs w:val="20"/>
        </w:rPr>
      </w:pPr>
    </w:p>
    <w:p w14:paraId="475D1B82">
      <w:pPr>
        <w:spacing w:line="440" w:lineRule="exact"/>
        <w:rPr>
          <w:rFonts w:ascii="Times New Roman" w:hAnsi="Times New Roman" w:eastAsia="黑体" w:cs="Times New Roman"/>
          <w:color w:val="auto"/>
          <w:sz w:val="20"/>
          <w:szCs w:val="20"/>
        </w:rPr>
      </w:pPr>
    </w:p>
    <w:p w14:paraId="59F51993">
      <w:pPr>
        <w:spacing w:line="440" w:lineRule="exact"/>
        <w:rPr>
          <w:rFonts w:ascii="Times New Roman" w:hAnsi="Times New Roman" w:eastAsia="黑体" w:cs="Times New Roman"/>
          <w:color w:val="auto"/>
          <w:sz w:val="20"/>
          <w:szCs w:val="20"/>
        </w:rPr>
      </w:pPr>
    </w:p>
    <w:p w14:paraId="2AE303F4">
      <w:pPr>
        <w:spacing w:line="440" w:lineRule="exact"/>
        <w:rPr>
          <w:rFonts w:ascii="Times New Roman" w:hAnsi="Times New Roman" w:eastAsia="黑体" w:cs="Times New Roman"/>
          <w:color w:val="auto"/>
          <w:sz w:val="20"/>
          <w:szCs w:val="20"/>
        </w:rPr>
      </w:pPr>
    </w:p>
    <w:p w14:paraId="621B8287">
      <w:pPr>
        <w:spacing w:line="440" w:lineRule="exact"/>
        <w:rPr>
          <w:rFonts w:ascii="Times New Roman" w:hAnsi="Times New Roman" w:eastAsia="黑体" w:cs="Times New Roman"/>
          <w:color w:val="auto"/>
          <w:sz w:val="20"/>
          <w:szCs w:val="20"/>
        </w:rPr>
      </w:pPr>
    </w:p>
    <w:p w14:paraId="546B5B8B">
      <w:pPr>
        <w:spacing w:line="440" w:lineRule="exact"/>
        <w:rPr>
          <w:rFonts w:ascii="Times New Roman" w:hAnsi="Times New Roman" w:eastAsia="黑体" w:cs="Times New Roman"/>
          <w:color w:val="auto"/>
          <w:sz w:val="20"/>
          <w:szCs w:val="20"/>
        </w:rPr>
      </w:pPr>
    </w:p>
    <w:p w14:paraId="35A3CFEB">
      <w:pPr>
        <w:spacing w:line="440" w:lineRule="exact"/>
        <w:jc w:val="center"/>
        <w:rPr>
          <w:rFonts w:ascii="Times New Roman" w:hAnsi="Times New Roman" w:eastAsia="黑体" w:cs="Times New Roman"/>
          <w:color w:val="auto"/>
          <w:sz w:val="28"/>
          <w:szCs w:val="28"/>
        </w:rPr>
      </w:pPr>
      <w:bookmarkStart w:id="82" w:name="_Toc2006_WPSOffice_Level2"/>
      <w:bookmarkStart w:id="83" w:name="_Toc5520_WPSOffice_Level2"/>
      <w:bookmarkStart w:id="84" w:name="_Toc25232_WPSOffice_Level2"/>
      <w:bookmarkStart w:id="85" w:name="_Toc21458_WPSOffice_Level2"/>
      <w:bookmarkStart w:id="86" w:name="_Toc3653_WPSOffice_Level1"/>
      <w:bookmarkStart w:id="87" w:name="_Toc14769_WPSOffice_Level2"/>
      <w:bookmarkStart w:id="88" w:name="_Toc16389_WPSOffice_Level1"/>
      <w:bookmarkStart w:id="89" w:name="_Toc23599_WPSOffice_Level2"/>
      <w:bookmarkStart w:id="90" w:name="_Toc28179_WPSOffice_Level2"/>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82"/>
      <w:bookmarkEnd w:id="83"/>
      <w:bookmarkEnd w:id="84"/>
      <w:bookmarkEnd w:id="85"/>
      <w:bookmarkEnd w:id="86"/>
      <w:bookmarkEnd w:id="87"/>
      <w:bookmarkEnd w:id="88"/>
      <w:bookmarkEnd w:id="89"/>
      <w:bookmarkEnd w:id="90"/>
      <w:r>
        <w:rPr>
          <w:rFonts w:ascii="Times New Roman" w:hAnsi="Times New Roman" w:eastAsia="黑体" w:cs="Times New Roman"/>
          <w:color w:val="auto"/>
          <w:sz w:val="28"/>
          <w:szCs w:val="28"/>
          <w:u w:val="single"/>
        </w:rPr>
        <w:t xml:space="preserve">   </w:t>
      </w:r>
    </w:p>
    <w:p w14:paraId="686C3DD7">
      <w:pPr>
        <w:spacing w:line="440" w:lineRule="exact"/>
        <w:ind w:firstLine="2158" w:firstLineChars="771"/>
        <w:rPr>
          <w:rFonts w:ascii="Times New Roman" w:hAnsi="Times New Roman" w:eastAsia="黑体" w:cs="Times New Roman"/>
          <w:color w:val="auto"/>
          <w:sz w:val="28"/>
          <w:szCs w:val="28"/>
        </w:rPr>
      </w:pPr>
    </w:p>
    <w:p w14:paraId="1B8D4849">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u w:val="single"/>
        </w:rPr>
        <w:t xml:space="preserve">        </w:t>
      </w:r>
      <w:bookmarkStart w:id="91" w:name="_Toc21748_WPSOffice_Level1"/>
      <w:bookmarkStart w:id="92" w:name="_Toc20398_WPSOffice_Level2"/>
      <w:bookmarkStart w:id="93" w:name="_Toc31577_WPSOffice_Level2"/>
      <w:bookmarkStart w:id="94" w:name="_Toc3668_WPSOffice_Level2"/>
      <w:bookmarkStart w:id="95" w:name="_Toc30382_WPSOffice_Level1"/>
      <w:bookmarkStart w:id="96" w:name="_Toc20076_WPSOffice_Level2"/>
      <w:bookmarkStart w:id="97" w:name="_Toc3948_WPSOffice_Level2"/>
      <w:bookmarkStart w:id="98" w:name="_Toc30763_WPSOffice_Level2"/>
      <w:bookmarkStart w:id="99" w:name="_Toc1902_WPSOffice_Level2"/>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bookmarkEnd w:id="91"/>
      <w:bookmarkEnd w:id="92"/>
      <w:bookmarkEnd w:id="93"/>
      <w:bookmarkEnd w:id="94"/>
      <w:bookmarkEnd w:id="95"/>
      <w:bookmarkEnd w:id="96"/>
      <w:bookmarkEnd w:id="97"/>
      <w:bookmarkEnd w:id="98"/>
      <w:bookmarkEnd w:id="99"/>
    </w:p>
    <w:p w14:paraId="161AD092">
      <w:pPr>
        <w:spacing w:line="440" w:lineRule="exact"/>
        <w:rPr>
          <w:rFonts w:ascii="Times New Roman" w:hAnsi="Times New Roman" w:eastAsia="黑体" w:cs="Times New Roman"/>
          <w:color w:val="auto"/>
          <w:sz w:val="28"/>
          <w:szCs w:val="28"/>
        </w:rPr>
      </w:pPr>
    </w:p>
    <w:p w14:paraId="1DC01F6C">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00" w:name="_Toc21974_WPSOffice_Level2"/>
      <w:bookmarkStart w:id="101" w:name="_Toc31224_WPSOffice_Level2"/>
      <w:bookmarkStart w:id="102" w:name="_Toc96_WPSOffice_Level1"/>
      <w:bookmarkStart w:id="103" w:name="_Toc24832_WPSOffice_Level2"/>
      <w:bookmarkStart w:id="104" w:name="_Toc7952_WPSOffice_Level2"/>
      <w:bookmarkStart w:id="105" w:name="_Toc29095_WPSOffice_Level2"/>
      <w:bookmarkStart w:id="106" w:name="_Toc882_WPSOffice_Level2"/>
      <w:bookmarkStart w:id="107" w:name="_Toc9551_WPSOffice_Level1"/>
      <w:bookmarkStart w:id="108" w:name="_Toc22351_WPSOffice_Level2"/>
      <w:r>
        <w:rPr>
          <w:rFonts w:ascii="Times New Roman" w:hAnsi="Times New Roman" w:eastAsia="黑体" w:cs="Times New Roman"/>
          <w:color w:val="auto"/>
          <w:sz w:val="28"/>
          <w:szCs w:val="28"/>
        </w:rPr>
        <w:t>目     录</w:t>
      </w:r>
      <w:bookmarkEnd w:id="100"/>
      <w:bookmarkEnd w:id="101"/>
      <w:bookmarkEnd w:id="102"/>
      <w:bookmarkEnd w:id="103"/>
      <w:bookmarkEnd w:id="104"/>
      <w:bookmarkEnd w:id="105"/>
      <w:bookmarkEnd w:id="106"/>
      <w:bookmarkEnd w:id="107"/>
      <w:bookmarkEnd w:id="108"/>
    </w:p>
    <w:p w14:paraId="6E82366B">
      <w:pPr>
        <w:spacing w:line="440" w:lineRule="exact"/>
        <w:rPr>
          <w:rFonts w:ascii="Times New Roman" w:hAnsi="Times New Roman" w:eastAsia="黑体" w:cs="Times New Roman"/>
          <w:color w:val="auto"/>
          <w:sz w:val="20"/>
          <w:szCs w:val="20"/>
        </w:rPr>
      </w:pPr>
    </w:p>
    <w:p w14:paraId="146E8BF4">
      <w:pPr>
        <w:spacing w:line="440" w:lineRule="exact"/>
        <w:ind w:left="1619" w:leftChars="771"/>
        <w:rPr>
          <w:rFonts w:ascii="Times New Roman" w:hAnsi="Times New Roman" w:eastAsia="黑体" w:cs="Times New Roman"/>
          <w:color w:val="auto"/>
          <w:sz w:val="24"/>
        </w:rPr>
      </w:pPr>
      <w:bookmarkStart w:id="109" w:name="_Toc6353_WPSOffice_Level1"/>
      <w:bookmarkStart w:id="110" w:name="_Toc30529_WPSOffice_Level1"/>
      <w:bookmarkStart w:id="111" w:name="_Toc9021_WPSOffice_Level1"/>
      <w:bookmarkStart w:id="112" w:name="_Toc11424_WPSOffice_Level1"/>
      <w:bookmarkStart w:id="113" w:name="_Toc23368_WPSOffice_Level1"/>
      <w:bookmarkStart w:id="114" w:name="_Toc12670_WPSOffice_Level1"/>
      <w:bookmarkStart w:id="115" w:name="_Toc26987_WPSOffice_Level1"/>
      <w:r>
        <w:rPr>
          <w:rFonts w:ascii="Times New Roman" w:hAnsi="Times New Roman" w:eastAsia="黑体" w:cs="Times New Roman"/>
          <w:color w:val="auto"/>
          <w:sz w:val="24"/>
        </w:rPr>
        <w:t>一、报价函</w:t>
      </w:r>
      <w:bookmarkEnd w:id="109"/>
      <w:bookmarkEnd w:id="110"/>
      <w:bookmarkEnd w:id="111"/>
      <w:bookmarkEnd w:id="112"/>
      <w:bookmarkEnd w:id="113"/>
      <w:bookmarkEnd w:id="114"/>
      <w:bookmarkEnd w:id="115"/>
    </w:p>
    <w:p w14:paraId="6FFBC476">
      <w:pPr>
        <w:spacing w:line="440" w:lineRule="exact"/>
        <w:ind w:left="1619" w:leftChars="771"/>
        <w:rPr>
          <w:rFonts w:ascii="Times New Roman" w:hAnsi="Times New Roman" w:eastAsia="黑体" w:cs="Times New Roman"/>
          <w:color w:val="auto"/>
          <w:sz w:val="24"/>
        </w:rPr>
      </w:pPr>
      <w:bookmarkStart w:id="116" w:name="_Toc32729_WPSOffice_Level1"/>
      <w:bookmarkStart w:id="117" w:name="_Toc26052_WPSOffice_Level1"/>
      <w:bookmarkStart w:id="118" w:name="_Toc21229_WPSOffice_Level1"/>
      <w:bookmarkStart w:id="119" w:name="_Toc14150_WPSOffice_Level1"/>
      <w:bookmarkStart w:id="120" w:name="_Toc3742_WPSOffice_Level1"/>
      <w:bookmarkStart w:id="121" w:name="_Toc31927_WPSOffice_Level1"/>
      <w:bookmarkStart w:id="122" w:name="_Toc5317_WPSOffice_Level1"/>
      <w:r>
        <w:rPr>
          <w:rFonts w:ascii="Times New Roman" w:hAnsi="Times New Roman" w:eastAsia="黑体" w:cs="Times New Roman"/>
          <w:color w:val="auto"/>
          <w:sz w:val="24"/>
        </w:rPr>
        <w:t>二、</w:t>
      </w:r>
      <w:bookmarkEnd w:id="116"/>
      <w:bookmarkEnd w:id="117"/>
      <w:bookmarkEnd w:id="118"/>
      <w:bookmarkEnd w:id="119"/>
      <w:bookmarkEnd w:id="120"/>
      <w:bookmarkEnd w:id="121"/>
      <w:bookmarkEnd w:id="122"/>
      <w:r>
        <w:rPr>
          <w:rFonts w:hint="eastAsia" w:ascii="Times New Roman" w:hAnsi="Times New Roman" w:eastAsia="黑体" w:cs="Times New Roman"/>
          <w:color w:val="auto"/>
          <w:sz w:val="24"/>
        </w:rPr>
        <w:t>法定代表人身份证明及授权委托书</w:t>
      </w:r>
    </w:p>
    <w:p w14:paraId="28ACE53F">
      <w:pPr>
        <w:spacing w:line="440" w:lineRule="exact"/>
        <w:ind w:left="1619" w:leftChars="771"/>
        <w:rPr>
          <w:rFonts w:ascii="Times New Roman" w:hAnsi="Times New Roman" w:eastAsia="黑体" w:cs="Times New Roman"/>
          <w:color w:val="auto"/>
          <w:sz w:val="24"/>
        </w:rPr>
      </w:pPr>
      <w:bookmarkStart w:id="123" w:name="_Toc29085_WPSOffice_Level1"/>
      <w:bookmarkStart w:id="124" w:name="_Toc20535_WPSOffice_Level1"/>
      <w:bookmarkStart w:id="125" w:name="_Toc4728_WPSOffice_Level1"/>
      <w:bookmarkStart w:id="126" w:name="_Toc11822_WPSOffice_Level1"/>
      <w:bookmarkStart w:id="127" w:name="_Toc25652_WPSOffice_Level1"/>
      <w:bookmarkStart w:id="128" w:name="_Toc25965_WPSOffice_Level1"/>
      <w:bookmarkStart w:id="129" w:name="_Toc23356_WPSOffice_Level1"/>
      <w:r>
        <w:rPr>
          <w:rFonts w:hint="eastAsia" w:ascii="Times New Roman" w:hAnsi="Times New Roman" w:eastAsia="黑体" w:cs="Times New Roman"/>
          <w:color w:val="auto"/>
          <w:sz w:val="24"/>
        </w:rPr>
        <w:t>三</w:t>
      </w:r>
      <w:r>
        <w:rPr>
          <w:rFonts w:ascii="Times New Roman" w:hAnsi="Times New Roman" w:eastAsia="黑体" w:cs="Times New Roman"/>
          <w:color w:val="auto"/>
          <w:sz w:val="24"/>
        </w:rPr>
        <w:t>、已标价</w:t>
      </w:r>
      <w:r>
        <w:rPr>
          <w:rFonts w:hint="eastAsia" w:ascii="Times New Roman" w:hAnsi="Times New Roman" w:eastAsia="黑体" w:cs="Times New Roman"/>
          <w:color w:val="auto"/>
          <w:sz w:val="24"/>
        </w:rPr>
        <w:t>的报</w:t>
      </w:r>
      <w:bookmarkEnd w:id="123"/>
      <w:r>
        <w:rPr>
          <w:rFonts w:hint="eastAsia" w:ascii="Times New Roman" w:hAnsi="Times New Roman" w:eastAsia="黑体" w:cs="Times New Roman"/>
          <w:color w:val="auto"/>
          <w:sz w:val="24"/>
        </w:rPr>
        <w:t>价</w:t>
      </w:r>
      <w:r>
        <w:rPr>
          <w:rFonts w:ascii="Times New Roman" w:hAnsi="Times New Roman" w:eastAsia="黑体" w:cs="Times New Roman"/>
          <w:color w:val="auto"/>
          <w:sz w:val="24"/>
        </w:rPr>
        <w:t>清单</w:t>
      </w:r>
      <w:bookmarkEnd w:id="124"/>
      <w:bookmarkEnd w:id="125"/>
      <w:bookmarkEnd w:id="126"/>
      <w:bookmarkEnd w:id="127"/>
      <w:bookmarkEnd w:id="128"/>
      <w:bookmarkEnd w:id="129"/>
    </w:p>
    <w:p w14:paraId="0BE35777">
      <w:pPr>
        <w:spacing w:line="440" w:lineRule="exact"/>
        <w:ind w:left="1619" w:leftChars="771"/>
        <w:rPr>
          <w:rFonts w:ascii="Times New Roman" w:hAnsi="Times New Roman" w:eastAsia="黑体" w:cs="Times New Roman"/>
          <w:color w:val="auto"/>
          <w:sz w:val="24"/>
        </w:rPr>
      </w:pPr>
      <w:bookmarkStart w:id="130" w:name="_Toc10608_WPSOffice_Level1"/>
      <w:bookmarkStart w:id="131" w:name="_Toc7453_WPSOffice_Level1"/>
      <w:bookmarkStart w:id="132" w:name="_Toc18964_WPSOffice_Level1"/>
      <w:bookmarkStart w:id="133" w:name="_Toc7286_WPSOffice_Level1"/>
      <w:bookmarkStart w:id="134" w:name="_Toc27790_WPSOffice_Level1"/>
      <w:bookmarkStart w:id="135" w:name="_Toc23744_WPSOffice_Level1"/>
      <w:bookmarkStart w:id="136" w:name="_Toc24870_WPSOffice_Level1"/>
      <w:r>
        <w:rPr>
          <w:rFonts w:hint="eastAsia" w:ascii="Times New Roman" w:hAnsi="Times New Roman" w:eastAsia="黑体" w:cs="Times New Roman"/>
          <w:color w:val="auto"/>
          <w:sz w:val="24"/>
        </w:rPr>
        <w:t>四</w:t>
      </w:r>
      <w:r>
        <w:rPr>
          <w:rFonts w:ascii="Times New Roman" w:hAnsi="Times New Roman" w:eastAsia="黑体" w:cs="Times New Roman"/>
          <w:color w:val="auto"/>
          <w:sz w:val="24"/>
        </w:rPr>
        <w:t>、</w:t>
      </w:r>
      <w:bookmarkEnd w:id="130"/>
      <w:bookmarkEnd w:id="131"/>
      <w:bookmarkEnd w:id="132"/>
      <w:bookmarkEnd w:id="133"/>
      <w:r>
        <w:rPr>
          <w:rFonts w:hint="eastAsia" w:ascii="Times New Roman" w:hAnsi="Times New Roman" w:eastAsia="黑体" w:cs="Times New Roman"/>
          <w:color w:val="auto"/>
          <w:sz w:val="24"/>
        </w:rPr>
        <w:t>供应商基本情况</w:t>
      </w:r>
      <w:bookmarkEnd w:id="134"/>
      <w:bookmarkEnd w:id="135"/>
      <w:bookmarkEnd w:id="136"/>
    </w:p>
    <w:p w14:paraId="2B9F1ED6">
      <w:pPr>
        <w:spacing w:line="440" w:lineRule="exact"/>
        <w:ind w:left="1619" w:leftChars="771"/>
        <w:rPr>
          <w:rFonts w:ascii="Times New Roman" w:hAnsi="Times New Roman" w:eastAsia="黑体" w:cs="Times New Roman"/>
          <w:color w:val="auto"/>
          <w:sz w:val="24"/>
        </w:rPr>
      </w:pPr>
      <w:r>
        <w:rPr>
          <w:rFonts w:hint="eastAsia" w:ascii="Times New Roman" w:hAnsi="Times New Roman" w:eastAsia="黑体" w:cs="Times New Roman"/>
          <w:color w:val="auto"/>
          <w:sz w:val="24"/>
        </w:rPr>
        <w:t>五、近年类似业绩情况</w:t>
      </w:r>
    </w:p>
    <w:p w14:paraId="126ED0D6">
      <w:pPr>
        <w:spacing w:line="440" w:lineRule="exact"/>
        <w:ind w:left="1619" w:leftChars="771"/>
        <w:rPr>
          <w:rFonts w:ascii="Times New Roman" w:hAnsi="Times New Roman" w:eastAsia="黑体" w:cs="Times New Roman"/>
          <w:color w:val="auto"/>
          <w:sz w:val="24"/>
        </w:rPr>
      </w:pPr>
      <w:bookmarkStart w:id="137" w:name="_Toc5885_WPSOffice_Level1"/>
      <w:bookmarkStart w:id="138" w:name="_Toc21092_WPSOffice_Level1"/>
      <w:bookmarkStart w:id="139" w:name="_Toc16988_WPSOffice_Level1"/>
      <w:bookmarkStart w:id="140" w:name="_Toc8423_WPSOffice_Level1"/>
      <w:r>
        <w:rPr>
          <w:rFonts w:hint="eastAsia" w:ascii="Times New Roman" w:hAnsi="Times New Roman" w:eastAsia="黑体" w:cs="Times New Roman"/>
          <w:color w:val="auto"/>
          <w:sz w:val="24"/>
        </w:rPr>
        <w:t>六、</w:t>
      </w:r>
      <w:bookmarkEnd w:id="137"/>
      <w:bookmarkEnd w:id="138"/>
      <w:bookmarkEnd w:id="139"/>
      <w:bookmarkEnd w:id="140"/>
      <w:r>
        <w:rPr>
          <w:rFonts w:hint="eastAsia" w:ascii="Times New Roman" w:hAnsi="Times New Roman" w:eastAsia="黑体" w:cs="Times New Roman"/>
          <w:color w:val="auto"/>
          <w:sz w:val="24"/>
        </w:rPr>
        <w:t>信誉情况</w:t>
      </w:r>
    </w:p>
    <w:p w14:paraId="404E5418">
      <w:pPr>
        <w:spacing w:line="440" w:lineRule="exact"/>
        <w:ind w:left="1619" w:leftChars="771"/>
        <w:rPr>
          <w:rFonts w:ascii="Times New Roman" w:hAnsi="Times New Roman" w:eastAsia="黑体" w:cs="Times New Roman"/>
          <w:color w:val="auto"/>
          <w:sz w:val="24"/>
        </w:rPr>
      </w:pPr>
      <w:r>
        <w:rPr>
          <w:rFonts w:hint="eastAsia" w:ascii="Times New Roman" w:hAnsi="Times New Roman" w:eastAsia="黑体" w:cs="Times New Roman"/>
          <w:color w:val="auto"/>
          <w:sz w:val="24"/>
        </w:rPr>
        <w:t>七、其它材料</w:t>
      </w:r>
    </w:p>
    <w:p w14:paraId="17FCF8F5">
      <w:pPr>
        <w:spacing w:line="440" w:lineRule="exact"/>
        <w:ind w:left="1619" w:leftChars="771"/>
        <w:rPr>
          <w:rFonts w:ascii="Times New Roman" w:hAnsi="Times New Roman" w:eastAsia="黑体" w:cs="Times New Roman"/>
          <w:color w:val="auto"/>
          <w:sz w:val="24"/>
        </w:rPr>
      </w:pPr>
    </w:p>
    <w:p w14:paraId="5EE7997B">
      <w:pPr>
        <w:spacing w:line="440" w:lineRule="exact"/>
        <w:ind w:left="1619" w:leftChars="771"/>
        <w:rPr>
          <w:rFonts w:ascii="Times New Roman" w:hAnsi="Times New Roman" w:eastAsia="黑体" w:cs="Times New Roman"/>
          <w:color w:val="auto"/>
          <w:sz w:val="24"/>
        </w:rPr>
      </w:pPr>
    </w:p>
    <w:p w14:paraId="75F7F2A6">
      <w:pPr>
        <w:spacing w:line="440" w:lineRule="exact"/>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41" w:name="_Toc27336_WPSOffice_Level1"/>
      <w:bookmarkStart w:id="142" w:name="_Toc29334_WPSOffice_Level1"/>
    </w:p>
    <w:p w14:paraId="4424CAE2">
      <w:pPr>
        <w:spacing w:line="440" w:lineRule="exact"/>
        <w:jc w:val="center"/>
        <w:outlineLvl w:val="1"/>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一、报价函</w:t>
      </w:r>
      <w:bookmarkEnd w:id="141"/>
      <w:bookmarkEnd w:id="142"/>
    </w:p>
    <w:p w14:paraId="52880E40">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p>
    <w:p w14:paraId="29F5DB0D">
      <w:pPr>
        <w:spacing w:line="440" w:lineRule="exact"/>
        <w:rPr>
          <w:rFonts w:hint="eastAsia" w:ascii="Times New Roman" w:hAnsi="Times New Roman" w:eastAsia="Times New Roman"/>
          <w:color w:val="auto"/>
          <w:sz w:val="24"/>
          <w:szCs w:val="24"/>
          <w:highlight w:val="none"/>
        </w:rPr>
      </w:pPr>
      <w:r>
        <w:rPr>
          <w:rFonts w:hint="eastAsia" w:ascii="Times New Roman" w:hAnsi="Times New Roman"/>
          <w:color w:val="auto"/>
          <w:sz w:val="24"/>
          <w:szCs w:val="24"/>
          <w:highlight w:val="none"/>
          <w:u w:val="single"/>
          <w:lang w:eastAsia="zh-CN"/>
        </w:rPr>
        <w:t>安徽省经工物资有限公司</w:t>
      </w:r>
      <w:r>
        <w:rPr>
          <w:rFonts w:hint="eastAsia" w:ascii="Times New Roman" w:hAnsi="Times New Roman"/>
          <w:color w:val="auto"/>
          <w:sz w:val="24"/>
          <w:szCs w:val="24"/>
          <w:highlight w:val="none"/>
        </w:rPr>
        <w:t>：</w:t>
      </w:r>
    </w:p>
    <w:p w14:paraId="46E67331">
      <w:pPr>
        <w:pStyle w:val="7"/>
        <w:rPr>
          <w:rFonts w:hint="default"/>
          <w:color w:val="auto"/>
          <w:sz w:val="21"/>
          <w:szCs w:val="24"/>
          <w:highlight w:val="none"/>
        </w:rPr>
      </w:pPr>
    </w:p>
    <w:p w14:paraId="046F8CE2">
      <w:pPr>
        <w:widowControl/>
        <w:ind w:firstLine="480" w:firstLineChars="200"/>
        <w:jc w:val="left"/>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1</w:t>
      </w:r>
      <w:r>
        <w:rPr>
          <w:rFonts w:hint="eastAsia" w:ascii="Times New Roman" w:hAnsi="Times New Roman"/>
          <w:color w:val="auto"/>
          <w:sz w:val="24"/>
          <w:szCs w:val="24"/>
          <w:highlight w:val="none"/>
        </w:rPr>
        <w:t>．我方已仔细研究了</w:t>
      </w:r>
      <w:r>
        <w:rPr>
          <w:rFonts w:hint="eastAsia" w:ascii="Times New Roman" w:hAnsi="Times New Roman"/>
          <w:color w:val="auto"/>
          <w:sz w:val="24"/>
          <w:szCs w:val="24"/>
          <w:highlight w:val="none"/>
          <w:lang w:val="en-US" w:eastAsia="zh-CN"/>
        </w:rPr>
        <w:t xml:space="preserve"> </w:t>
      </w:r>
      <w:r>
        <w:rPr>
          <w:rFonts w:hint="eastAsia" w:ascii="Times New Roman" w:hAnsi="Times New Roman" w:eastAsia="宋体"/>
          <w:color w:val="FF0000"/>
          <w:sz w:val="24"/>
          <w:szCs w:val="24"/>
          <w:highlight w:val="none"/>
          <w:u w:val="single"/>
          <w:lang w:val="en-US" w:eastAsia="zh-CN"/>
        </w:rPr>
        <w:t>安徽省部分高速公路81.85MW配套新能源EPC项目电缆、变压器、断路器、预制舱、箱变采购项目XX包段</w:t>
      </w:r>
      <w:r>
        <w:rPr>
          <w:rFonts w:hint="eastAsia" w:ascii="Times New Roman" w:hAnsi="Times New Roman" w:eastAsia="宋体"/>
          <w:color w:val="FF0000"/>
          <w:sz w:val="24"/>
          <w:szCs w:val="24"/>
          <w:highlight w:val="none"/>
          <w:u w:val="single"/>
          <w:lang w:eastAsia="zh-CN"/>
        </w:rPr>
        <w:t>XX材料</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rPr>
        <w:t>(</w:t>
      </w:r>
      <w:r>
        <w:rPr>
          <w:rFonts w:hint="eastAsia" w:ascii="Times New Roman" w:hAnsi="Times New Roman"/>
          <w:color w:val="auto"/>
          <w:sz w:val="24"/>
          <w:szCs w:val="24"/>
          <w:highlight w:val="none"/>
        </w:rPr>
        <w:t>项目名称)采购文件的全部内容（包括工程量清单和施工图纸及采购文件中所述的各种因素），愿意以人民币（大写）</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w:t>
      </w:r>
      <w:r>
        <w:rPr>
          <w:rFonts w:hint="eastAsia" w:ascii="Times New Roman" w:hAnsi="Times New Roman" w:eastAsia="Times New Roman"/>
          <w:color w:val="auto"/>
          <w:sz w:val="24"/>
          <w:szCs w:val="24"/>
          <w:highlight w:val="none"/>
        </w:rPr>
        <w:t>¥</w:t>
      </w:r>
      <w:r>
        <w:rPr>
          <w:rFonts w:hint="eastAsia" w:ascii="Times New Roman" w:hAnsi="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color w:val="auto"/>
          <w:sz w:val="24"/>
          <w:szCs w:val="24"/>
          <w:highlight w:val="none"/>
        </w:rPr>
        <w:t>）的响应总报价提供采购文件标明的货物要求、技术服务和质保期服务措施，并按合同约定履行义务。</w:t>
      </w:r>
    </w:p>
    <w:p w14:paraId="7A3FC489">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eastAsia="Times New Roman"/>
          <w:color w:val="auto"/>
          <w:sz w:val="24"/>
          <w:szCs w:val="24"/>
          <w:highlight w:val="none"/>
        </w:rPr>
        <w:t>2</w:t>
      </w:r>
      <w:r>
        <w:rPr>
          <w:rFonts w:hint="eastAsia" w:ascii="Times New Roman" w:hAnsi="Times New Roman"/>
          <w:color w:val="auto"/>
          <w:sz w:val="24"/>
          <w:szCs w:val="24"/>
          <w:highlight w:val="none"/>
        </w:rPr>
        <w:t>．我方承诺在响应有效期内不修改、撤销响应文件。</w:t>
      </w:r>
    </w:p>
    <w:p w14:paraId="3D0F90D3">
      <w:pPr>
        <w:spacing w:line="400" w:lineRule="exact"/>
        <w:ind w:firstLine="480" w:firstLineChars="200"/>
        <w:rPr>
          <w:rFonts w:hint="default"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3.</w:t>
      </w:r>
      <w:r>
        <w:rPr>
          <w:rFonts w:hint="eastAsia" w:ascii="Times New Roman" w:hAnsi="Times New Roman" w:cs="Times New Roman"/>
          <w:color w:val="auto"/>
          <w:sz w:val="24"/>
          <w:highlight w:val="none"/>
          <w:lang w:val="en-US" w:eastAsia="zh-CN"/>
        </w:rPr>
        <w:t>材料质量：</w:t>
      </w:r>
      <w:r>
        <w:rPr>
          <w:rFonts w:hint="eastAsia" w:ascii="Times New Roman" w:hAnsi="Times New Roman" w:cs="Times New Roman"/>
          <w:color w:val="auto"/>
          <w:sz w:val="24"/>
          <w:highlight w:val="none"/>
          <w:u w:val="single"/>
          <w:lang w:val="en-US" w:eastAsia="zh-CN"/>
        </w:rPr>
        <w:t>响应采购文件要求</w:t>
      </w:r>
      <w:r>
        <w:rPr>
          <w:rFonts w:hint="eastAsia" w:ascii="Times New Roman" w:hAnsi="Times New Roman" w:cs="Times New Roman"/>
          <w:color w:val="auto"/>
          <w:sz w:val="24"/>
          <w:highlight w:val="none"/>
          <w:u w:val="none"/>
          <w:lang w:val="en-US" w:eastAsia="zh-CN"/>
        </w:rPr>
        <w:t>；交货期：</w:t>
      </w:r>
      <w:r>
        <w:rPr>
          <w:rFonts w:hint="eastAsia" w:ascii="Times New Roman" w:hAnsi="Times New Roman" w:cs="Times New Roman"/>
          <w:color w:val="auto"/>
          <w:sz w:val="24"/>
          <w:highlight w:val="none"/>
          <w:u w:val="single"/>
          <w:lang w:val="en-US" w:eastAsia="zh-CN"/>
        </w:rPr>
        <w:t>响应采购文件要求。</w:t>
      </w:r>
    </w:p>
    <w:p w14:paraId="72EE3AA3">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4</w:t>
      </w:r>
      <w:r>
        <w:rPr>
          <w:rFonts w:hint="eastAsia" w:ascii="Times New Roman" w:hAnsi="Times New Roman"/>
          <w:color w:val="auto"/>
          <w:sz w:val="24"/>
          <w:szCs w:val="24"/>
          <w:highlight w:val="none"/>
        </w:rPr>
        <w:t>．如我方成交：</w:t>
      </w:r>
    </w:p>
    <w:p w14:paraId="447038FD">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(1)</w:t>
      </w:r>
      <w:r>
        <w:rPr>
          <w:rFonts w:hint="eastAsia" w:ascii="Times New Roman" w:hAnsi="Times New Roman"/>
          <w:color w:val="auto"/>
          <w:sz w:val="24"/>
          <w:szCs w:val="24"/>
          <w:highlight w:val="none"/>
        </w:rPr>
        <w:t>我方承诺在收到成交通知书后，在成交通知书规定的期限内与你方签订合同。</w:t>
      </w:r>
    </w:p>
    <w:p w14:paraId="4D5D5E23">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(2)</w:t>
      </w:r>
      <w:r>
        <w:rPr>
          <w:rFonts w:hint="eastAsia" w:ascii="Times New Roman" w:hAnsi="Times New Roman"/>
          <w:color w:val="auto"/>
          <w:sz w:val="24"/>
          <w:szCs w:val="24"/>
          <w:highlight w:val="none"/>
        </w:rPr>
        <w:t>我方承诺按照采购文件规定向你方递交履约担保。</w:t>
      </w:r>
    </w:p>
    <w:p w14:paraId="65094E15">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(3)</w:t>
      </w:r>
      <w:r>
        <w:rPr>
          <w:rFonts w:hint="eastAsia" w:ascii="Times New Roman" w:hAnsi="Times New Roman"/>
          <w:color w:val="auto"/>
          <w:sz w:val="24"/>
          <w:szCs w:val="24"/>
          <w:highlight w:val="none"/>
        </w:rPr>
        <w:t>我方承诺在合同约定的期限内完成全部合同任务。</w:t>
      </w:r>
    </w:p>
    <w:p w14:paraId="5F70497F">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color w:val="auto"/>
          <w:sz w:val="24"/>
          <w:szCs w:val="24"/>
          <w:highlight w:val="none"/>
        </w:rPr>
        <w:t>．我方在此声明，所递交的响应文件及有关资料内容完整、真实和准确。</w:t>
      </w:r>
    </w:p>
    <w:p w14:paraId="3AFD038E">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6</w:t>
      </w:r>
      <w:r>
        <w:rPr>
          <w:rFonts w:hint="eastAsia" w:ascii="Times New Roman" w:hAnsi="Times New Roman"/>
          <w:color w:val="auto"/>
          <w:sz w:val="24"/>
          <w:szCs w:val="24"/>
          <w:highlight w:val="none"/>
        </w:rPr>
        <w:t>．在合同协议书正式签署生效之前，本响应函连同你方的成交通知书将构成我们双方之间共同遵守的文件，对双方具有约束力。</w:t>
      </w:r>
    </w:p>
    <w:p w14:paraId="3E02E650">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7</w:t>
      </w:r>
      <w:r>
        <w:rPr>
          <w:rFonts w:hint="eastAsia" w:ascii="Times New Roman" w:hAnsi="Times New Roman"/>
          <w:color w:val="auto"/>
          <w:sz w:val="24"/>
          <w:szCs w:val="24"/>
          <w:highlight w:val="none"/>
        </w:rPr>
        <w:t>．我方已按采购文件要求详细审核并确认全部采购文件及有关附件，充分理解采购价格不得低于企业个别成本有关规定。我方经成本核算，所填报的响应报价不低于企业个别成本。</w:t>
      </w:r>
    </w:p>
    <w:p w14:paraId="5DF97954">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.____/____（其他补充说明）。</w:t>
      </w:r>
    </w:p>
    <w:p w14:paraId="3F6D9386">
      <w:pPr>
        <w:pStyle w:val="7"/>
        <w:rPr>
          <w:rFonts w:hint="eastAsia" w:ascii="Times New Roman" w:hAnsi="Times New Roman"/>
          <w:color w:val="auto"/>
          <w:sz w:val="24"/>
          <w:szCs w:val="24"/>
          <w:highlight w:val="yellow"/>
        </w:rPr>
      </w:pPr>
    </w:p>
    <w:p w14:paraId="43FE553B">
      <w:pPr>
        <w:pStyle w:val="7"/>
        <w:tabs>
          <w:tab w:val="left" w:pos="6379"/>
        </w:tabs>
        <w:spacing w:beforeLines="0" w:afterLines="0" w:line="480" w:lineRule="exact"/>
        <w:jc w:val="both"/>
        <w:rPr>
          <w:rFonts w:hint="eastAsia" w:ascii="宋体" w:hAnsi="宋体" w:cs="宋体"/>
          <w:color w:val="auto"/>
          <w:sz w:val="24"/>
          <w:szCs w:val="24"/>
        </w:rPr>
      </w:pPr>
    </w:p>
    <w:p w14:paraId="76B08196">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供  应  商 ：</w:t>
      </w:r>
      <w:bookmarkStart w:id="143" w:name="_Hlk122530524"/>
      <w:r>
        <w:rPr>
          <w:rFonts w:hint="eastAsia" w:ascii="宋体" w:hAnsi="宋体" w:cs="宋体"/>
          <w:color w:val="auto"/>
          <w:sz w:val="24"/>
          <w:szCs w:val="24"/>
          <w:u w:val="single"/>
        </w:rPr>
        <w:t xml:space="preserve">           </w:t>
      </w:r>
      <w:bookmarkEnd w:id="143"/>
      <w:r>
        <w:rPr>
          <w:rFonts w:hint="eastAsia" w:ascii="宋体" w:hAnsi="宋体" w:cs="宋体"/>
          <w:color w:val="auto"/>
          <w:sz w:val="24"/>
          <w:szCs w:val="24"/>
        </w:rPr>
        <w:t>（盖单位</w:t>
      </w:r>
      <w:r>
        <w:rPr>
          <w:rFonts w:hint="eastAsia" w:ascii="宋体" w:hAnsi="宋体" w:cs="宋体"/>
          <w:color w:val="auto"/>
          <w:sz w:val="24"/>
          <w:szCs w:val="24"/>
          <w:lang w:val="en-US" w:eastAsia="zh-CN"/>
        </w:rPr>
        <w:t>公</w:t>
      </w:r>
      <w:r>
        <w:rPr>
          <w:rFonts w:hint="eastAsia" w:ascii="宋体" w:hAnsi="宋体" w:cs="宋体"/>
          <w:color w:val="auto"/>
          <w:sz w:val="24"/>
          <w:szCs w:val="24"/>
        </w:rPr>
        <w:t>章）</w:t>
      </w:r>
    </w:p>
    <w:p w14:paraId="7CB2BE99">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9877707">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 xml:space="preserve">日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65D28AE">
      <w:pPr>
        <w:spacing w:line="400" w:lineRule="exact"/>
        <w:ind w:firstLine="4740" w:firstLineChars="1975"/>
        <w:jc w:val="right"/>
        <w:rPr>
          <w:rFonts w:hint="eastAsia" w:ascii="Times New Roman" w:hAnsi="Times New Roman" w:eastAsia="Times New Roman"/>
          <w:color w:val="auto"/>
          <w:sz w:val="24"/>
          <w:szCs w:val="24"/>
          <w:highlight w:val="yellow"/>
        </w:rPr>
      </w:pPr>
    </w:p>
    <w:p w14:paraId="06BD8875">
      <w:pPr>
        <w:spacing w:line="440" w:lineRule="exact"/>
        <w:ind w:firstLine="440"/>
        <w:jc w:val="right"/>
        <w:rPr>
          <w:rFonts w:ascii="Times New Roman" w:hAnsi="Times New Roman" w:eastAsia="黑体" w:cs="Times New Roman"/>
          <w:color w:val="auto"/>
          <w:sz w:val="20"/>
          <w:szCs w:val="20"/>
        </w:rPr>
      </w:pPr>
    </w:p>
    <w:p w14:paraId="09A9B8C6">
      <w:pPr>
        <w:spacing w:line="440" w:lineRule="exact"/>
        <w:jc w:val="center"/>
        <w:outlineLvl w:val="1"/>
        <w:rPr>
          <w:rFonts w:ascii="Times New Roman" w:hAnsi="Times New Roman" w:eastAsia="黑体" w:cs="Times New Roman"/>
          <w:color w:val="auto"/>
          <w:sz w:val="28"/>
          <w:szCs w:val="28"/>
        </w:rPr>
      </w:pPr>
      <w:bookmarkStart w:id="144" w:name="_Toc29236_WPSOffice_Level1"/>
      <w:bookmarkStart w:id="145" w:name="_Toc21389_WPSOffice_Level1"/>
    </w:p>
    <w:p w14:paraId="065C69A7">
      <w:pPr>
        <w:spacing w:line="440" w:lineRule="exact"/>
        <w:jc w:val="center"/>
        <w:outlineLvl w:val="1"/>
        <w:rPr>
          <w:rFonts w:ascii="Times New Roman" w:hAnsi="Times New Roman" w:eastAsia="黑体" w:cs="Times New Roman"/>
          <w:color w:val="auto"/>
          <w:sz w:val="28"/>
          <w:szCs w:val="28"/>
        </w:rPr>
      </w:pPr>
    </w:p>
    <w:p w14:paraId="7C7CFC05">
      <w:pPr>
        <w:spacing w:line="440" w:lineRule="exact"/>
        <w:jc w:val="center"/>
        <w:outlineLvl w:val="1"/>
        <w:rPr>
          <w:rFonts w:ascii="Times New Roman" w:hAnsi="Times New Roman" w:eastAsia="黑体" w:cs="Times New Roman"/>
          <w:color w:val="auto"/>
          <w:sz w:val="28"/>
          <w:szCs w:val="28"/>
        </w:rPr>
      </w:pPr>
    </w:p>
    <w:p w14:paraId="3028955F">
      <w:pPr>
        <w:numPr>
          <w:ilvl w:val="0"/>
          <w:numId w:val="4"/>
        </w:numPr>
        <w:spacing w:line="440" w:lineRule="exact"/>
        <w:jc w:val="center"/>
        <w:outlineLvl w:val="1"/>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法定代表人身份证明及授权委托书</w:t>
      </w:r>
    </w:p>
    <w:p w14:paraId="01160C9A">
      <w:pPr>
        <w:numPr>
          <w:ilvl w:val="0"/>
          <w:numId w:val="0"/>
        </w:numPr>
        <w:spacing w:line="440" w:lineRule="exact"/>
        <w:jc w:val="both"/>
        <w:outlineLvl w:val="1"/>
        <w:rPr>
          <w:rFonts w:ascii="Times New Roman" w:hAnsi="Times New Roman" w:eastAsia="黑体" w:cs="Times New Roman"/>
          <w:color w:val="auto"/>
          <w:sz w:val="28"/>
          <w:szCs w:val="28"/>
        </w:rPr>
      </w:pP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236925E">
      <w:pPr>
        <w:spacing w:line="440" w:lineRule="exact"/>
        <w:jc w:val="center"/>
        <w:rPr>
          <w:rFonts w:ascii="Times New Roman" w:hAnsi="Times New Roman" w:cs="Times New Roman"/>
          <w:color w:val="auto"/>
          <w:sz w:val="24"/>
        </w:rPr>
      </w:pPr>
      <w:r>
        <w:rPr>
          <w:rFonts w:ascii="Times New Roman" w:hAnsi="Times New Roman" w:cs="Times New Roman"/>
          <w:color w:val="auto"/>
          <w:sz w:val="24"/>
        </w:rPr>
        <w:t xml:space="preserve">  </w:t>
      </w:r>
    </w:p>
    <w:p w14:paraId="2299D1C1">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02109609">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51587E3B">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4AEF88A8">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625A8319">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45644FC4">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3454EB7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38D934B4">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7FC7B16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2AECEE3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5E7AB5BA">
      <w:pPr>
        <w:pStyle w:val="19"/>
        <w:tabs>
          <w:tab w:val="left" w:pos="1078"/>
          <w:tab w:val="left" w:pos="1176"/>
          <w:tab w:val="left" w:pos="1638"/>
          <w:tab w:val="left" w:pos="3920"/>
          <w:tab w:val="left" w:pos="5670"/>
        </w:tabs>
        <w:ind w:left="0" w:leftChars="0" w:firstLine="0" w:firstLineChars="0"/>
        <w:rPr>
          <w:rFonts w:ascii="Times New Roman" w:hAnsi="Times New Roman" w:cs="Times New Roman"/>
          <w:color w:val="auto"/>
          <w:sz w:val="24"/>
        </w:rPr>
      </w:pPr>
    </w:p>
    <w:p w14:paraId="208850F6">
      <w:pPr>
        <w:spacing w:line="440"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2-2</w:t>
      </w:r>
      <w:r>
        <w:rPr>
          <w:rFonts w:ascii="Times New Roman" w:hAnsi="Times New Roman" w:eastAsia="黑体" w:cs="Times New Roman"/>
          <w:color w:val="auto"/>
          <w:sz w:val="28"/>
          <w:szCs w:val="28"/>
        </w:rPr>
        <w:t>授权委托书</w:t>
      </w:r>
      <w:bookmarkEnd w:id="144"/>
      <w:bookmarkEnd w:id="145"/>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eastAsia" w:ascii="Times New Roman" w:hAnsi="Times New Roman" w:eastAsia="宋体"/>
          <w:color w:val="FF0000"/>
          <w:sz w:val="24"/>
          <w:szCs w:val="24"/>
          <w:highlight w:val="none"/>
          <w:u w:val="single"/>
          <w:lang w:val="en-US" w:eastAsia="zh-CN"/>
        </w:rPr>
        <w:t>安徽省部分高速公路81.85MW配套新能源EPC项目电缆、变压器、断路器、预制舱、箱变采购项目XX包段</w:t>
      </w:r>
      <w:r>
        <w:rPr>
          <w:rFonts w:hint="eastAsia" w:ascii="Times New Roman" w:hAnsi="Times New Roman" w:eastAsia="宋体"/>
          <w:color w:val="FF0000"/>
          <w:sz w:val="24"/>
          <w:szCs w:val="24"/>
          <w:highlight w:val="none"/>
          <w:u w:val="single"/>
          <w:lang w:eastAsia="zh-CN"/>
        </w:rPr>
        <w:t>XX材料</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项目名称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3F131C8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headerReference r:id="rId12" w:type="default"/>
          <w:footerReference r:id="rId13" w:type="default"/>
          <w:pgSz w:w="11906" w:h="16838"/>
          <w:pgMar w:top="1440" w:right="1797" w:bottom="1440" w:left="1797" w:header="851" w:footer="992" w:gutter="0"/>
          <w:pgNumType w:fmt="decimal"/>
          <w:cols w:space="425" w:num="1"/>
          <w:docGrid w:type="lines" w:linePitch="312" w:charSpace="0"/>
        </w:sectPr>
      </w:pPr>
    </w:p>
    <w:p w14:paraId="6F9D4476">
      <w:pPr>
        <w:spacing w:line="440" w:lineRule="exact"/>
        <w:jc w:val="center"/>
        <w:outlineLvl w:val="1"/>
        <w:rPr>
          <w:rFonts w:ascii="Times New Roman" w:hAnsi="Times New Roman" w:eastAsia="黑体" w:cs="Times New Roman"/>
          <w:color w:val="auto"/>
          <w:sz w:val="28"/>
          <w:szCs w:val="28"/>
        </w:rPr>
      </w:pPr>
      <w:bookmarkStart w:id="146" w:name="_Toc202_WPSOffice_Level1"/>
      <w:bookmarkStart w:id="147" w:name="_Toc1902_WPSOffice_Level1"/>
      <w:r>
        <w:rPr>
          <w:rFonts w:hint="eastAsia" w:ascii="Times New Roman" w:hAnsi="Times New Roman" w:eastAsia="黑体" w:cs="Times New Roman"/>
          <w:color w:val="auto"/>
          <w:sz w:val="28"/>
          <w:szCs w:val="28"/>
        </w:rPr>
        <w:t>三</w:t>
      </w:r>
      <w:r>
        <w:rPr>
          <w:rFonts w:ascii="Times New Roman" w:hAnsi="Times New Roman" w:eastAsia="黑体" w:cs="Times New Roman"/>
          <w:color w:val="auto"/>
          <w:sz w:val="28"/>
          <w:szCs w:val="28"/>
        </w:rPr>
        <w:t>、已标价</w:t>
      </w:r>
      <w:r>
        <w:rPr>
          <w:rFonts w:hint="eastAsia" w:ascii="Times New Roman" w:hAnsi="Times New Roman" w:eastAsia="黑体" w:cs="Times New Roman"/>
          <w:color w:val="auto"/>
          <w:sz w:val="28"/>
          <w:szCs w:val="28"/>
        </w:rPr>
        <w:t>的报价</w:t>
      </w:r>
      <w:r>
        <w:rPr>
          <w:rFonts w:ascii="Times New Roman" w:hAnsi="Times New Roman" w:eastAsia="黑体" w:cs="Times New Roman"/>
          <w:color w:val="auto"/>
          <w:sz w:val="28"/>
          <w:szCs w:val="28"/>
        </w:rPr>
        <w:t>清单</w:t>
      </w:r>
      <w:bookmarkEnd w:id="146"/>
      <w:bookmarkEnd w:id="147"/>
    </w:p>
    <w:p w14:paraId="7F584D90">
      <w:pPr>
        <w:spacing w:line="440" w:lineRule="exact"/>
        <w:rPr>
          <w:rFonts w:ascii="Times New Roman" w:hAnsi="Times New Roman" w:eastAsia="黑体" w:cs="Times New Roman"/>
          <w:color w:val="auto"/>
          <w:sz w:val="24"/>
        </w:rPr>
      </w:pPr>
    </w:p>
    <w:p w14:paraId="79A48053">
      <w:pPr>
        <w:spacing w:line="440" w:lineRule="exact"/>
        <w:rPr>
          <w:rFonts w:ascii="Times New Roman" w:hAnsi="Times New Roman" w:eastAsia="黑体" w:cs="Times New Roman"/>
          <w:color w:val="auto"/>
          <w:sz w:val="24"/>
        </w:rPr>
      </w:pPr>
    </w:p>
    <w:p w14:paraId="2D9830B4">
      <w:pPr>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755869E1">
      <w:pPr>
        <w:rPr>
          <w:rFonts w:hint="eastAsia" w:ascii="Times New Roman" w:hAnsi="Times New Roman" w:eastAsia="黑体" w:cs="Times New Roman"/>
          <w:color w:val="auto"/>
          <w:sz w:val="24"/>
          <w:lang w:val="en-US" w:eastAsia="zh-CN"/>
        </w:rPr>
      </w:pPr>
    </w:p>
    <w:p w14:paraId="313BC8BC">
      <w:pPr>
        <w:rPr>
          <w:rFonts w:hint="eastAsia" w:ascii="Times New Roman" w:hAnsi="Times New Roman" w:eastAsia="黑体" w:cs="Times New Roman"/>
          <w:color w:val="auto"/>
          <w:sz w:val="24"/>
          <w:lang w:val="en-US" w:eastAsia="zh-CN"/>
        </w:rPr>
      </w:pPr>
    </w:p>
    <w:p w14:paraId="614DE404">
      <w:pPr>
        <w:rPr>
          <w:rFonts w:hint="eastAsia" w:ascii="Times New Roman" w:hAnsi="Times New Roman" w:eastAsia="黑体" w:cs="Times New Roman"/>
          <w:color w:val="auto"/>
          <w:sz w:val="24"/>
          <w:lang w:val="en-US" w:eastAsia="zh-CN"/>
        </w:rPr>
      </w:pPr>
    </w:p>
    <w:p w14:paraId="221EADEE">
      <w:pPr>
        <w:rPr>
          <w:rFonts w:hint="eastAsia" w:ascii="Times New Roman" w:hAnsi="Times New Roman" w:eastAsia="黑体" w:cs="Times New Roman"/>
          <w:color w:val="auto"/>
          <w:sz w:val="24"/>
          <w:lang w:val="en-US" w:eastAsia="zh-CN"/>
        </w:rPr>
      </w:pPr>
    </w:p>
    <w:p w14:paraId="677CE117">
      <w:pPr>
        <w:rPr>
          <w:rFonts w:hint="eastAsia" w:ascii="Times New Roman" w:hAnsi="Times New Roman" w:eastAsia="黑体" w:cs="Times New Roman"/>
          <w:color w:val="auto"/>
          <w:sz w:val="24"/>
          <w:lang w:val="en-US" w:eastAsia="zh-CN"/>
        </w:rPr>
      </w:pPr>
    </w:p>
    <w:p w14:paraId="68A3AA33">
      <w:pPr>
        <w:rPr>
          <w:rFonts w:hint="eastAsia" w:ascii="Times New Roman" w:hAnsi="Times New Roman" w:eastAsia="黑体" w:cs="Times New Roman"/>
          <w:color w:val="auto"/>
          <w:sz w:val="24"/>
          <w:lang w:val="en-US" w:eastAsia="zh-CN"/>
        </w:rPr>
      </w:pPr>
    </w:p>
    <w:p w14:paraId="36E9EB69">
      <w:pPr>
        <w:rPr>
          <w:rFonts w:hint="eastAsia" w:ascii="Times New Roman" w:hAnsi="Times New Roman" w:eastAsia="黑体" w:cs="Times New Roman"/>
          <w:color w:val="auto"/>
          <w:sz w:val="24"/>
          <w:lang w:val="en-US" w:eastAsia="zh-CN"/>
        </w:rPr>
      </w:pPr>
    </w:p>
    <w:p w14:paraId="46648904">
      <w:pPr>
        <w:rPr>
          <w:rFonts w:hint="eastAsia" w:ascii="Times New Roman" w:hAnsi="Times New Roman" w:eastAsia="黑体" w:cs="Times New Roman"/>
          <w:color w:val="auto"/>
          <w:sz w:val="24"/>
          <w:lang w:val="en-US" w:eastAsia="zh-CN"/>
        </w:rPr>
      </w:pPr>
    </w:p>
    <w:p w14:paraId="43529C98">
      <w:pPr>
        <w:rPr>
          <w:rFonts w:hint="eastAsia" w:ascii="Times New Roman" w:hAnsi="Times New Roman" w:eastAsia="黑体" w:cs="Times New Roman"/>
          <w:color w:val="auto"/>
          <w:sz w:val="24"/>
          <w:lang w:val="en-US" w:eastAsia="zh-CN"/>
        </w:rPr>
      </w:pPr>
    </w:p>
    <w:p w14:paraId="309E3A90">
      <w:pPr>
        <w:rPr>
          <w:rFonts w:hint="eastAsia" w:ascii="Times New Roman" w:hAnsi="Times New Roman" w:eastAsia="黑体" w:cs="Times New Roman"/>
          <w:color w:val="auto"/>
          <w:sz w:val="24"/>
          <w:lang w:val="en-US" w:eastAsia="zh-CN"/>
        </w:rPr>
      </w:pPr>
    </w:p>
    <w:p w14:paraId="76F17DCC">
      <w:pPr>
        <w:rPr>
          <w:rFonts w:hint="eastAsia" w:ascii="Times New Roman" w:hAnsi="Times New Roman" w:eastAsia="黑体" w:cs="Times New Roman"/>
          <w:color w:val="auto"/>
          <w:sz w:val="24"/>
          <w:lang w:val="en-US" w:eastAsia="zh-CN"/>
        </w:rPr>
      </w:pPr>
    </w:p>
    <w:p w14:paraId="12D31025">
      <w:pPr>
        <w:rPr>
          <w:rFonts w:hint="eastAsia" w:ascii="Times New Roman" w:hAnsi="Times New Roman" w:eastAsia="黑体" w:cs="Times New Roman"/>
          <w:color w:val="auto"/>
          <w:sz w:val="24"/>
          <w:lang w:val="en-US" w:eastAsia="zh-CN"/>
        </w:rPr>
      </w:pPr>
    </w:p>
    <w:p w14:paraId="4D149A82">
      <w:pPr>
        <w:rPr>
          <w:rFonts w:hint="eastAsia" w:ascii="Times New Roman" w:hAnsi="Times New Roman" w:eastAsia="黑体" w:cs="Times New Roman"/>
          <w:color w:val="auto"/>
          <w:sz w:val="24"/>
          <w:lang w:val="en-US" w:eastAsia="zh-CN"/>
        </w:rPr>
      </w:pPr>
    </w:p>
    <w:p w14:paraId="67DC3A90">
      <w:pPr>
        <w:rPr>
          <w:rFonts w:hint="eastAsia" w:ascii="Times New Roman" w:hAnsi="Times New Roman" w:eastAsia="黑体" w:cs="Times New Roman"/>
          <w:color w:val="auto"/>
          <w:sz w:val="24"/>
          <w:lang w:val="en-US" w:eastAsia="zh-CN"/>
        </w:rPr>
      </w:pPr>
    </w:p>
    <w:p w14:paraId="1873DF5E">
      <w:pPr>
        <w:rPr>
          <w:rFonts w:hint="eastAsia" w:ascii="Times New Roman" w:hAnsi="Times New Roman" w:eastAsia="黑体" w:cs="Times New Roman"/>
          <w:color w:val="auto"/>
          <w:sz w:val="24"/>
          <w:lang w:val="en-US" w:eastAsia="zh-CN"/>
        </w:rPr>
      </w:pPr>
    </w:p>
    <w:p w14:paraId="05ADDCE2">
      <w:pPr>
        <w:rPr>
          <w:rFonts w:hint="eastAsia" w:ascii="Times New Roman" w:hAnsi="Times New Roman" w:eastAsia="黑体" w:cs="Times New Roman"/>
          <w:color w:val="auto"/>
          <w:sz w:val="24"/>
          <w:lang w:val="en-US" w:eastAsia="zh-CN"/>
        </w:rPr>
      </w:pPr>
    </w:p>
    <w:p w14:paraId="75C59C2F">
      <w:pPr>
        <w:rPr>
          <w:rFonts w:hint="eastAsia" w:ascii="Times New Roman" w:hAnsi="Times New Roman" w:eastAsia="黑体" w:cs="Times New Roman"/>
          <w:color w:val="auto"/>
          <w:sz w:val="24"/>
          <w:lang w:val="en-US" w:eastAsia="zh-CN"/>
        </w:rPr>
      </w:pPr>
    </w:p>
    <w:p w14:paraId="1FFF6224">
      <w:pPr>
        <w:rPr>
          <w:rFonts w:hint="eastAsia" w:ascii="Times New Roman" w:hAnsi="Times New Roman" w:eastAsia="黑体" w:cs="Times New Roman"/>
          <w:color w:val="auto"/>
          <w:sz w:val="24"/>
          <w:lang w:val="en-US" w:eastAsia="zh-CN"/>
        </w:rPr>
      </w:pPr>
    </w:p>
    <w:p w14:paraId="57FFFB75">
      <w:pPr>
        <w:rPr>
          <w:rFonts w:hint="eastAsia" w:ascii="Times New Roman" w:hAnsi="Times New Roman" w:eastAsia="黑体" w:cs="Times New Roman"/>
          <w:color w:val="auto"/>
          <w:sz w:val="24"/>
          <w:lang w:val="en-US" w:eastAsia="zh-CN"/>
        </w:rPr>
      </w:pPr>
    </w:p>
    <w:p w14:paraId="2EFF929D">
      <w:pPr>
        <w:rPr>
          <w:rFonts w:hint="eastAsia" w:ascii="Times New Roman" w:hAnsi="Times New Roman" w:eastAsia="黑体" w:cs="Times New Roman"/>
          <w:color w:val="auto"/>
          <w:sz w:val="24"/>
          <w:lang w:val="en-US" w:eastAsia="zh-CN"/>
        </w:rPr>
      </w:pPr>
    </w:p>
    <w:p w14:paraId="77B5C00D">
      <w:pPr>
        <w:rPr>
          <w:rFonts w:hint="eastAsia" w:ascii="Times New Roman" w:hAnsi="Times New Roman" w:eastAsia="黑体" w:cs="Times New Roman"/>
          <w:color w:val="auto"/>
          <w:sz w:val="24"/>
          <w:lang w:val="en-US" w:eastAsia="zh-CN"/>
        </w:rPr>
      </w:pPr>
    </w:p>
    <w:p w14:paraId="44EEACA3">
      <w:pPr>
        <w:rPr>
          <w:rFonts w:hint="eastAsia" w:ascii="Times New Roman" w:hAnsi="Times New Roman" w:eastAsia="黑体" w:cs="Times New Roman"/>
          <w:color w:val="auto"/>
          <w:sz w:val="24"/>
          <w:lang w:val="en-US" w:eastAsia="zh-CN"/>
        </w:rPr>
      </w:pPr>
    </w:p>
    <w:p w14:paraId="72CED34C">
      <w:pPr>
        <w:rPr>
          <w:rFonts w:hint="eastAsia" w:ascii="Times New Roman" w:hAnsi="Times New Roman" w:eastAsia="黑体" w:cs="Times New Roman"/>
          <w:color w:val="auto"/>
          <w:sz w:val="24"/>
          <w:lang w:val="en-US" w:eastAsia="zh-CN"/>
        </w:rPr>
      </w:pPr>
    </w:p>
    <w:p w14:paraId="239DAAFE">
      <w:pPr>
        <w:rPr>
          <w:rFonts w:hint="eastAsia" w:ascii="Times New Roman" w:hAnsi="Times New Roman" w:eastAsia="黑体" w:cs="Times New Roman"/>
          <w:color w:val="auto"/>
          <w:sz w:val="24"/>
          <w:lang w:val="en-US" w:eastAsia="zh-CN"/>
        </w:rPr>
      </w:pPr>
    </w:p>
    <w:p w14:paraId="234A7265">
      <w:pPr>
        <w:rPr>
          <w:rFonts w:hint="eastAsia" w:ascii="Times New Roman" w:hAnsi="Times New Roman" w:eastAsia="黑体" w:cs="Times New Roman"/>
          <w:color w:val="auto"/>
          <w:sz w:val="24"/>
          <w:lang w:val="en-US" w:eastAsia="zh-CN"/>
        </w:rPr>
      </w:pPr>
    </w:p>
    <w:p w14:paraId="2C2086CE">
      <w:pPr>
        <w:rPr>
          <w:rFonts w:hint="eastAsia" w:ascii="Times New Roman" w:hAnsi="Times New Roman" w:eastAsia="黑体" w:cs="Times New Roman"/>
          <w:color w:val="auto"/>
          <w:sz w:val="24"/>
          <w:lang w:val="en-US" w:eastAsia="zh-CN"/>
        </w:rPr>
      </w:pPr>
    </w:p>
    <w:p w14:paraId="49413E3D">
      <w:pPr>
        <w:rPr>
          <w:rFonts w:hint="eastAsia" w:ascii="Times New Roman" w:hAnsi="Times New Roman" w:eastAsia="黑体" w:cs="Times New Roman"/>
          <w:color w:val="auto"/>
          <w:sz w:val="24"/>
          <w:lang w:val="en-US" w:eastAsia="zh-CN"/>
        </w:rPr>
      </w:pPr>
    </w:p>
    <w:p w14:paraId="6180CB61">
      <w:pPr>
        <w:rPr>
          <w:rFonts w:hint="eastAsia" w:ascii="Times New Roman" w:hAnsi="Times New Roman" w:eastAsia="黑体" w:cs="Times New Roman"/>
          <w:color w:val="auto"/>
          <w:sz w:val="24"/>
          <w:lang w:val="en-US" w:eastAsia="zh-CN"/>
        </w:rPr>
      </w:pPr>
    </w:p>
    <w:p w14:paraId="3431DD63">
      <w:pPr>
        <w:rPr>
          <w:rFonts w:hint="eastAsia" w:ascii="Times New Roman" w:hAnsi="Times New Roman" w:eastAsia="黑体" w:cs="Times New Roman"/>
          <w:color w:val="auto"/>
          <w:sz w:val="24"/>
          <w:lang w:val="en-US" w:eastAsia="zh-CN"/>
        </w:rPr>
      </w:pPr>
    </w:p>
    <w:p w14:paraId="744F0335">
      <w:pPr>
        <w:rPr>
          <w:rFonts w:hint="eastAsia" w:ascii="Times New Roman" w:hAnsi="Times New Roman" w:eastAsia="黑体" w:cs="Times New Roman"/>
          <w:color w:val="auto"/>
          <w:sz w:val="24"/>
          <w:lang w:val="en-US" w:eastAsia="zh-CN"/>
        </w:rPr>
      </w:pPr>
    </w:p>
    <w:p w14:paraId="39DBE9CA">
      <w:pPr>
        <w:rPr>
          <w:rFonts w:hint="eastAsia" w:ascii="Times New Roman" w:hAnsi="Times New Roman" w:eastAsia="黑体" w:cs="Times New Roman"/>
          <w:color w:val="auto"/>
          <w:sz w:val="24"/>
          <w:lang w:val="en-US" w:eastAsia="zh-CN"/>
        </w:rPr>
      </w:pPr>
    </w:p>
    <w:p w14:paraId="763089AA">
      <w:pPr>
        <w:rPr>
          <w:rFonts w:hint="eastAsia" w:ascii="Times New Roman" w:hAnsi="Times New Roman" w:eastAsia="黑体" w:cs="Times New Roman"/>
          <w:color w:val="auto"/>
          <w:sz w:val="24"/>
          <w:lang w:val="en-US" w:eastAsia="zh-CN"/>
        </w:rPr>
      </w:pPr>
    </w:p>
    <w:p w14:paraId="30E183E2">
      <w:pPr>
        <w:rPr>
          <w:rFonts w:hint="eastAsia" w:ascii="Times New Roman" w:hAnsi="Times New Roman" w:eastAsia="黑体" w:cs="Times New Roman"/>
          <w:color w:val="auto"/>
          <w:sz w:val="24"/>
          <w:lang w:val="en-US" w:eastAsia="zh-CN"/>
        </w:rPr>
      </w:pPr>
    </w:p>
    <w:p w14:paraId="68D976BE">
      <w:pPr>
        <w:rPr>
          <w:rFonts w:hint="eastAsia" w:ascii="Times New Roman" w:hAnsi="Times New Roman" w:eastAsia="黑体" w:cs="Times New Roman"/>
          <w:color w:val="auto"/>
          <w:sz w:val="24"/>
          <w:lang w:val="en-US" w:eastAsia="zh-CN"/>
        </w:rPr>
      </w:pPr>
    </w:p>
    <w:p w14:paraId="3A8A9F05">
      <w:pPr>
        <w:rPr>
          <w:rFonts w:hint="eastAsia" w:ascii="Times New Roman" w:hAnsi="Times New Roman" w:eastAsia="黑体" w:cs="Times New Roman"/>
          <w:color w:val="auto"/>
          <w:sz w:val="24"/>
          <w:lang w:val="en-US" w:eastAsia="zh-CN"/>
        </w:rPr>
      </w:pPr>
    </w:p>
    <w:p w14:paraId="2891FE25">
      <w:pPr>
        <w:rPr>
          <w:rFonts w:hint="eastAsia" w:ascii="Times New Roman" w:hAnsi="Times New Roman" w:eastAsia="黑体" w:cs="Times New Roman"/>
          <w:color w:val="auto"/>
          <w:sz w:val="24"/>
          <w:lang w:val="en-US" w:eastAsia="zh-CN"/>
        </w:rPr>
      </w:pPr>
    </w:p>
    <w:p w14:paraId="7F1B7EA7">
      <w:pPr>
        <w:rPr>
          <w:rFonts w:hint="eastAsia" w:ascii="Times New Roman" w:hAnsi="Times New Roman" w:eastAsia="黑体" w:cs="Times New Roman"/>
          <w:color w:val="auto"/>
          <w:sz w:val="24"/>
          <w:lang w:val="en-US" w:eastAsia="zh-CN"/>
        </w:rPr>
      </w:pPr>
    </w:p>
    <w:p w14:paraId="080C9096">
      <w:pPr>
        <w:rPr>
          <w:rFonts w:hint="eastAsia" w:ascii="Times New Roman" w:hAnsi="Times New Roman" w:eastAsia="黑体" w:cs="Times New Roman"/>
          <w:color w:val="auto"/>
          <w:sz w:val="24"/>
          <w:lang w:val="en-US" w:eastAsia="zh-CN"/>
        </w:rPr>
      </w:pPr>
    </w:p>
    <w:p w14:paraId="2FDDF648">
      <w:pPr>
        <w:rPr>
          <w:rFonts w:hint="default" w:ascii="Times New Roman" w:hAnsi="Times New Roman" w:eastAsia="黑体" w:cs="Times New Roman"/>
          <w:color w:val="auto"/>
          <w:sz w:val="24"/>
          <w:lang w:val="en-US" w:eastAsia="zh-CN"/>
        </w:rPr>
      </w:pPr>
    </w:p>
    <w:p w14:paraId="5A1A9C9D">
      <w:pPr>
        <w:spacing w:line="360" w:lineRule="auto"/>
        <w:jc w:val="center"/>
        <w:rPr>
          <w:rFonts w:hint="eastAsia" w:ascii="宋体" w:hAnsi="宋体"/>
          <w:b/>
          <w:color w:val="auto"/>
        </w:rPr>
      </w:pPr>
      <w:r>
        <w:rPr>
          <w:rFonts w:ascii="宋体" w:hAnsi="宋体"/>
          <w:b/>
          <w:color w:val="auto"/>
        </w:rPr>
        <w:t>A</w:t>
      </w:r>
      <w:r>
        <w:rPr>
          <w:rFonts w:hint="eastAsia" w:ascii="宋体" w:hAnsi="宋体"/>
          <w:b/>
          <w:color w:val="auto"/>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68A3E70B">
      <w:pPr>
        <w:adjustRightInd w:val="0"/>
        <w:snapToGrid w:val="0"/>
        <w:spacing w:line="360" w:lineRule="auto"/>
        <w:ind w:firstLine="420" w:firstLineChars="200"/>
        <w:rPr>
          <w:rFonts w:ascii="宋体" w:hAnsi="宋体"/>
          <w:color w:val="auto"/>
          <w:szCs w:val="21"/>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0A7CFA51">
      <w:pPr>
        <w:spacing w:beforeLines="0" w:afterLines="0" w:line="360" w:lineRule="auto"/>
        <w:jc w:val="center"/>
        <w:rPr>
          <w:rFonts w:hint="eastAsia" w:ascii="宋体" w:hAnsi="宋体"/>
          <w:b/>
          <w:color w:val="auto"/>
          <w:sz w:val="21"/>
          <w:szCs w:val="21"/>
        </w:rPr>
      </w:pPr>
      <w:r>
        <w:rPr>
          <w:rFonts w:hint="eastAsia" w:ascii="宋体" w:hAnsi="宋体" w:cs="宋体"/>
          <w:b/>
          <w:color w:val="auto"/>
          <w:sz w:val="21"/>
          <w:szCs w:val="21"/>
          <w:lang w:bidi="ar"/>
        </w:rPr>
        <w:t>B．报价清单表</w:t>
      </w:r>
    </w:p>
    <w:tbl>
      <w:tblPr>
        <w:tblStyle w:val="2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29"/>
        <w:gridCol w:w="3654"/>
        <w:gridCol w:w="2119"/>
      </w:tblGrid>
      <w:tr w14:paraId="4E83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3DF7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序号</w:t>
            </w:r>
          </w:p>
        </w:tc>
        <w:tc>
          <w:tcPr>
            <w:tcW w:w="23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19A28">
            <w:pPr>
              <w:pStyle w:val="16"/>
              <w:widowControl w:val="0"/>
              <w:spacing w:beforeLines="0" w:after="120" w:afterLines="0" w:afterAutospacing="0"/>
              <w:jc w:val="center"/>
              <w:rPr>
                <w:rFonts w:hint="default" w:ascii="Calibri" w:hAnsi="Calibri" w:cs="Times New Roman"/>
                <w:color w:val="auto"/>
                <w:kern w:val="2"/>
                <w:sz w:val="21"/>
                <w:szCs w:val="21"/>
              </w:rPr>
            </w:pPr>
            <w:r>
              <w:rPr>
                <w:rFonts w:hint="eastAsia"/>
                <w:color w:val="auto"/>
                <w:kern w:val="2"/>
                <w:sz w:val="21"/>
                <w:szCs w:val="21"/>
                <w:lang w:bidi="ar"/>
              </w:rPr>
              <w:t>采购项目</w:t>
            </w:r>
          </w:p>
        </w:tc>
        <w:tc>
          <w:tcPr>
            <w:tcW w:w="36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53F964">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总计金额（元）</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5267F">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备注</w:t>
            </w:r>
          </w:p>
        </w:tc>
      </w:tr>
      <w:tr w14:paraId="0538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8B10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1</w:t>
            </w:r>
          </w:p>
        </w:tc>
        <w:tc>
          <w:tcPr>
            <w:tcW w:w="23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13D102">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合计</w:t>
            </w:r>
          </w:p>
        </w:tc>
        <w:tc>
          <w:tcPr>
            <w:tcW w:w="36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0877F">
            <w:pPr>
              <w:pStyle w:val="16"/>
              <w:widowControl w:val="0"/>
              <w:spacing w:beforeLines="0" w:after="120" w:afterLines="0" w:afterAutospacing="0"/>
              <w:ind w:firstLine="420" w:firstLineChars="200"/>
              <w:jc w:val="both"/>
              <w:rPr>
                <w:rFonts w:hint="eastAsia"/>
                <w:color w:val="auto"/>
                <w:kern w:val="2"/>
                <w:sz w:val="21"/>
                <w:szCs w:val="21"/>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7E659">
            <w:pPr>
              <w:pStyle w:val="16"/>
              <w:widowControl w:val="0"/>
              <w:spacing w:beforeLines="0" w:after="120" w:afterLines="0" w:afterAutospacing="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245F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1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C992D91">
            <w:pPr>
              <w:pStyle w:val="16"/>
              <w:widowControl w:val="0"/>
              <w:spacing w:beforeLines="0" w:after="120" w:afterLines="0" w:afterAutospacing="0"/>
              <w:ind w:left="420" w:leftChars="20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577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A19D013">
            <w:pPr>
              <w:pStyle w:val="16"/>
              <w:widowControl w:val="0"/>
              <w:spacing w:beforeLines="0" w:after="120" w:afterLines="0" w:afterAutospacing="0"/>
              <w:rPr>
                <w:rFonts w:hint="eastAsia"/>
                <w:color w:val="auto"/>
                <w:kern w:val="2"/>
                <w:sz w:val="21"/>
                <w:szCs w:val="21"/>
              </w:rPr>
            </w:pPr>
            <w:r>
              <w:rPr>
                <w:rFonts w:hint="eastAsia"/>
                <w:color w:val="auto"/>
                <w:kern w:val="2"/>
                <w:sz w:val="21"/>
                <w:szCs w:val="21"/>
              </w:rPr>
              <w:t>大写：</w:t>
            </w:r>
          </w:p>
        </w:tc>
      </w:tr>
    </w:tbl>
    <w:p w14:paraId="372DFD83">
      <w:pPr>
        <w:pStyle w:val="16"/>
        <w:widowControl w:val="0"/>
        <w:spacing w:beforeLines="0" w:after="120" w:afterLines="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3D3625A9">
      <w:pPr>
        <w:spacing w:beforeLines="0" w:afterLines="0"/>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222F316A">
      <w:pPr>
        <w:spacing w:beforeLines="0" w:afterLines="0"/>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6D4F003E">
      <w:pPr>
        <w:spacing w:beforeLines="0" w:afterLines="0"/>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2AC5FCB5">
      <w:pPr>
        <w:pStyle w:val="16"/>
        <w:widowControl w:val="0"/>
        <w:spacing w:beforeLines="0" w:after="120" w:afterLines="0" w:afterAutospacing="0"/>
        <w:ind w:firstLine="210" w:firstLineChars="100"/>
        <w:jc w:val="both"/>
        <w:rPr>
          <w:rFonts w:hint="eastAsia" w:ascii="Calibri" w:hAnsi="Calibri" w:cs="Times New Roman"/>
          <w:color w:val="auto"/>
          <w:kern w:val="2"/>
          <w:sz w:val="21"/>
          <w:szCs w:val="21"/>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7D37FF12">
      <w:pPr>
        <w:spacing w:line="360" w:lineRule="auto"/>
        <w:jc w:val="left"/>
        <w:rPr>
          <w:rFonts w:hint="eastAsia" w:ascii="宋体" w:hAnsi="宋体"/>
          <w:b/>
          <w:color w:val="auto"/>
        </w:rPr>
      </w:pPr>
    </w:p>
    <w:p w14:paraId="78E191EF">
      <w:pPr>
        <w:spacing w:line="360" w:lineRule="auto"/>
        <w:jc w:val="left"/>
        <w:rPr>
          <w:rFonts w:hint="eastAsia" w:ascii="宋体" w:hAnsi="宋体"/>
          <w:b/>
          <w:color w:val="auto"/>
        </w:rPr>
      </w:pPr>
    </w:p>
    <w:p w14:paraId="43E82348">
      <w:pPr>
        <w:spacing w:line="360" w:lineRule="auto"/>
        <w:jc w:val="left"/>
        <w:rPr>
          <w:rFonts w:hint="eastAsia" w:ascii="宋体" w:hAnsi="宋体"/>
          <w:b/>
          <w:color w:val="auto"/>
        </w:rPr>
      </w:pPr>
    </w:p>
    <w:p w14:paraId="5427ADE5">
      <w:pPr>
        <w:spacing w:line="360" w:lineRule="auto"/>
        <w:jc w:val="left"/>
        <w:rPr>
          <w:rFonts w:hint="eastAsia" w:ascii="宋体" w:hAnsi="宋体"/>
          <w:b/>
          <w:color w:val="auto"/>
        </w:rPr>
      </w:pPr>
    </w:p>
    <w:p w14:paraId="2DFDCB71">
      <w:pPr>
        <w:spacing w:line="360" w:lineRule="auto"/>
        <w:jc w:val="left"/>
        <w:rPr>
          <w:rFonts w:hint="eastAsia" w:ascii="宋体" w:hAnsi="宋体"/>
          <w:b/>
          <w:color w:val="auto"/>
        </w:rPr>
      </w:pPr>
    </w:p>
    <w:p w14:paraId="530E6BE5">
      <w:pPr>
        <w:spacing w:line="360" w:lineRule="auto"/>
        <w:jc w:val="left"/>
        <w:rPr>
          <w:rFonts w:hint="eastAsia" w:ascii="宋体" w:hAnsi="宋体"/>
          <w:b/>
          <w:color w:val="auto"/>
        </w:rPr>
      </w:pPr>
    </w:p>
    <w:p w14:paraId="2B6CBD19">
      <w:pPr>
        <w:spacing w:line="360" w:lineRule="auto"/>
        <w:jc w:val="left"/>
        <w:rPr>
          <w:rFonts w:hint="eastAsia" w:ascii="宋体" w:hAnsi="宋体"/>
          <w:b/>
          <w:color w:val="auto"/>
        </w:rPr>
      </w:pPr>
    </w:p>
    <w:p w14:paraId="6451AD94">
      <w:pPr>
        <w:spacing w:line="360" w:lineRule="auto"/>
        <w:jc w:val="left"/>
        <w:rPr>
          <w:rFonts w:hint="eastAsia" w:ascii="宋体" w:hAnsi="宋体"/>
          <w:b/>
          <w:color w:val="auto"/>
        </w:rPr>
      </w:pPr>
    </w:p>
    <w:p w14:paraId="674CADA5">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1.上述费用包括货物的原材料、生产、包装、运输、保险、卸货叉车费（如有）、人工费、卸车费、利润、税费等相关费用。</w:t>
      </w:r>
    </w:p>
    <w:p w14:paraId="144947DB">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6E3CB1D5">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第三方复试费用均由供应商承担（含检测样品），抽检频率和批次按国家、行业标准或甲方要求执行。</w:t>
      </w:r>
    </w:p>
    <w:p w14:paraId="31FFE8A4">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须在包装外壁醒目位置上永久性标示生产厂家、生产批次、品牌标志、规格型号、唯一性可追溯性编码标识（如二维码）等信息。</w:t>
      </w:r>
    </w:p>
    <w:p w14:paraId="7358756F">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w:t>
      </w:r>
      <w:r>
        <w:rPr>
          <w:rFonts w:hint="eastAsia" w:ascii="宋体" w:hAnsi="宋体"/>
          <w:color w:val="auto"/>
          <w:sz w:val="21"/>
          <w:szCs w:val="21"/>
          <w:lang w:val="en-US" w:eastAsia="zh-CN"/>
        </w:rPr>
        <w:t>供应货物的</w:t>
      </w:r>
      <w:r>
        <w:rPr>
          <w:rFonts w:hint="eastAsia" w:ascii="宋体" w:hAnsi="宋体" w:eastAsiaTheme="minorEastAsia" w:cstheme="minorBidi"/>
          <w:color w:val="auto"/>
          <w:kern w:val="2"/>
          <w:sz w:val="21"/>
          <w:szCs w:val="21"/>
          <w:u w:val="none"/>
          <w:lang w:val="en-US" w:eastAsia="zh-CN" w:bidi="ar-SA"/>
        </w:rPr>
        <w:t>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w:t>
      </w:r>
      <w:r>
        <w:rPr>
          <w:rFonts w:hint="eastAsia" w:ascii="宋体" w:hAnsi="宋体" w:eastAsiaTheme="minorEastAsia" w:cstheme="minorBidi"/>
          <w:color w:val="auto"/>
          <w:kern w:val="2"/>
          <w:sz w:val="21"/>
          <w:szCs w:val="21"/>
          <w:u w:val="none"/>
          <w:lang w:val="en-US" w:eastAsia="zh-CN" w:bidi="ar-SA"/>
        </w:rPr>
        <w:t>、进场工作，并承担因送货次数增加而引起的运输成本增加等相应风险。</w:t>
      </w:r>
    </w:p>
    <w:p w14:paraId="79271BBC">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人对提供的</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质量问题，将视作违约，</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人须赔偿由此造成返工的全部工程建设费用及其他一切损失，同时由采购人追究</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人的违约责任，情节严重的，依法追究相关责任。</w:t>
      </w:r>
    </w:p>
    <w:p w14:paraId="4C4001B5">
      <w:pPr>
        <w:spacing w:line="360" w:lineRule="auto"/>
        <w:jc w:val="left"/>
        <w:rPr>
          <w:rFonts w:hint="eastAsia" w:ascii="宋体" w:hAnsi="宋体"/>
          <w:b/>
          <w:color w:val="auto"/>
        </w:rPr>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pPr>
    </w:p>
    <w:p w14:paraId="29EEC152">
      <w:pPr>
        <w:spacing w:line="440" w:lineRule="exact"/>
        <w:jc w:val="center"/>
        <w:outlineLvl w:val="1"/>
        <w:rPr>
          <w:rFonts w:ascii="Times New Roman" w:hAnsi="Times New Roman" w:eastAsia="黑体" w:cs="Times New Roman"/>
          <w:color w:val="auto"/>
          <w:sz w:val="28"/>
          <w:szCs w:val="28"/>
        </w:rPr>
      </w:pPr>
      <w:bookmarkStart w:id="148" w:name="_Toc22419_WPSOffice_Level1"/>
      <w:bookmarkStart w:id="149" w:name="_Toc19774_WPSOffice_Level1"/>
      <w:r>
        <w:rPr>
          <w:rFonts w:hint="eastAsia" w:ascii="Times New Roman" w:hAnsi="Times New Roman" w:eastAsia="黑体" w:cs="Times New Roman"/>
          <w:color w:val="auto"/>
          <w:sz w:val="28"/>
          <w:szCs w:val="28"/>
        </w:rPr>
        <w:t>四</w:t>
      </w:r>
      <w:r>
        <w:rPr>
          <w:rFonts w:ascii="Times New Roman" w:hAnsi="Times New Roman" w:eastAsia="黑体" w:cs="Times New Roman"/>
          <w:color w:val="auto"/>
          <w:sz w:val="28"/>
          <w:szCs w:val="28"/>
        </w:rPr>
        <w:t>、</w:t>
      </w:r>
      <w:bookmarkStart w:id="150" w:name="_Toc25374_WPSOffice_Level2"/>
      <w:bookmarkStart w:id="151" w:name="_Toc803_WPSOffice_Level2"/>
      <w:r>
        <w:rPr>
          <w:rFonts w:ascii="Times New Roman" w:hAnsi="Times New Roman" w:eastAsia="黑体" w:cs="Times New Roman"/>
          <w:color w:val="auto"/>
          <w:sz w:val="28"/>
          <w:szCs w:val="28"/>
        </w:rPr>
        <w:t>供应商基本情况</w:t>
      </w:r>
      <w:bookmarkEnd w:id="148"/>
      <w:bookmarkEnd w:id="149"/>
      <w:bookmarkEnd w:id="150"/>
      <w:bookmarkEnd w:id="151"/>
    </w:p>
    <w:p w14:paraId="477B4247">
      <w:pPr>
        <w:topLinePunct/>
        <w:spacing w:line="440" w:lineRule="exact"/>
        <w:jc w:val="center"/>
        <w:rPr>
          <w:rFonts w:ascii="Times New Roman" w:hAnsi="Times New Roman" w:cs="Times New Roman"/>
          <w:color w:val="auto"/>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1524C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F552B35">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1675B42">
            <w:pPr>
              <w:topLinePunct/>
              <w:spacing w:line="440" w:lineRule="exact"/>
              <w:jc w:val="center"/>
              <w:rPr>
                <w:rFonts w:ascii="Times New Roman" w:hAnsi="Times New Roman" w:cs="Times New Roman"/>
                <w:color w:val="auto"/>
                <w:szCs w:val="21"/>
              </w:rPr>
            </w:pPr>
          </w:p>
        </w:tc>
      </w:tr>
      <w:tr w14:paraId="018B4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3ECCAB5E">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D705EC">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00B013A">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13B0DBF">
            <w:pPr>
              <w:topLinePunct/>
              <w:spacing w:line="440" w:lineRule="exact"/>
              <w:jc w:val="center"/>
              <w:rPr>
                <w:rFonts w:ascii="Times New Roman" w:hAnsi="Times New Roman" w:cs="Times New Roman"/>
                <w:color w:val="auto"/>
                <w:szCs w:val="21"/>
              </w:rPr>
            </w:pPr>
          </w:p>
        </w:tc>
      </w:tr>
      <w:tr w14:paraId="69C4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7098AAD">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2419E16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0FE9B19F">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34FDBE2">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9B32CA3">
            <w:pPr>
              <w:topLinePunct/>
              <w:spacing w:line="440" w:lineRule="exact"/>
              <w:jc w:val="center"/>
              <w:rPr>
                <w:rFonts w:ascii="Times New Roman" w:hAnsi="Times New Roman" w:cs="Times New Roman"/>
                <w:color w:val="auto"/>
                <w:szCs w:val="21"/>
              </w:rPr>
            </w:pPr>
          </w:p>
        </w:tc>
      </w:tr>
      <w:tr w14:paraId="17F1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2F3AFD8D">
            <w:pPr>
              <w:topLinePunct/>
              <w:spacing w:line="440" w:lineRule="exact"/>
              <w:jc w:val="center"/>
              <w:rPr>
                <w:rFonts w:ascii="Times New Roman" w:hAnsi="Times New Roman" w:cs="Times New Roman"/>
                <w:color w:val="auto"/>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051DCF03">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639B4FD3">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8523229">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14:paraId="645B26EF">
            <w:pPr>
              <w:topLinePunct/>
              <w:spacing w:line="440" w:lineRule="exact"/>
              <w:jc w:val="center"/>
              <w:rPr>
                <w:rFonts w:ascii="Times New Roman" w:hAnsi="Times New Roman" w:cs="Times New Roman"/>
                <w:color w:val="auto"/>
                <w:szCs w:val="21"/>
              </w:rPr>
            </w:pPr>
          </w:p>
        </w:tc>
      </w:tr>
      <w:tr w14:paraId="2784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824671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17946269">
            <w:pPr>
              <w:topLinePunct/>
              <w:spacing w:line="440" w:lineRule="exact"/>
              <w:jc w:val="center"/>
              <w:rPr>
                <w:rFonts w:ascii="Times New Roman" w:hAnsi="Times New Roman" w:cs="Times New Roman"/>
                <w:color w:val="auto"/>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2900354">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9DC754C">
            <w:pPr>
              <w:topLinePunct/>
              <w:spacing w:line="440" w:lineRule="exact"/>
              <w:jc w:val="center"/>
              <w:rPr>
                <w:rFonts w:ascii="Times New Roman" w:hAnsi="Times New Roman" w:cs="Times New Roman"/>
                <w:color w:val="auto"/>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798CBEE5">
            <w:pPr>
              <w:topLinePunct/>
              <w:spacing w:line="440" w:lineRule="exact"/>
              <w:jc w:val="center"/>
              <w:rPr>
                <w:rFonts w:ascii="Times New Roman" w:hAnsi="Times New Roman" w:cs="Times New Roman"/>
                <w:color w:val="auto"/>
                <w:szCs w:val="21"/>
              </w:rPr>
            </w:pPr>
          </w:p>
        </w:tc>
      </w:tr>
      <w:tr w14:paraId="74811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A647783">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B49AD11">
            <w:pPr>
              <w:topLinePunct/>
              <w:spacing w:line="440" w:lineRule="exact"/>
              <w:jc w:val="center"/>
              <w:rPr>
                <w:rFonts w:ascii="Times New Roman" w:hAnsi="Times New Roman" w:cs="Times New Roman"/>
                <w:color w:val="auto"/>
                <w:szCs w:val="21"/>
              </w:rPr>
            </w:pPr>
          </w:p>
        </w:tc>
      </w:tr>
      <w:tr w14:paraId="10436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18144AE9">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D8A9267">
            <w:pPr>
              <w:topLinePunct/>
              <w:spacing w:line="440" w:lineRule="exact"/>
              <w:rPr>
                <w:rFonts w:ascii="Times New Roman" w:hAnsi="Times New Roman" w:cs="Times New Roman"/>
                <w:color w:val="auto"/>
                <w:szCs w:val="21"/>
              </w:rPr>
            </w:pPr>
          </w:p>
          <w:p w14:paraId="281F5761">
            <w:pPr>
              <w:topLinePunct/>
              <w:spacing w:line="440" w:lineRule="exact"/>
              <w:jc w:val="center"/>
              <w:rPr>
                <w:rFonts w:ascii="Times New Roman" w:hAnsi="Times New Roman" w:cs="Times New Roman"/>
                <w:color w:val="auto"/>
                <w:szCs w:val="21"/>
              </w:rPr>
            </w:pPr>
          </w:p>
          <w:p w14:paraId="5567F589">
            <w:pPr>
              <w:topLinePunct/>
              <w:spacing w:line="440" w:lineRule="exact"/>
              <w:rPr>
                <w:rFonts w:ascii="Times New Roman" w:hAnsi="Times New Roman" w:cs="Times New Roman"/>
                <w:color w:val="auto"/>
                <w:szCs w:val="21"/>
              </w:rPr>
            </w:pPr>
          </w:p>
        </w:tc>
      </w:tr>
      <w:tr w14:paraId="6A54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04A0A70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2351AE1">
            <w:pPr>
              <w:topLinePunct/>
              <w:spacing w:line="440" w:lineRule="exact"/>
              <w:jc w:val="center"/>
              <w:rPr>
                <w:rFonts w:ascii="Times New Roman" w:hAnsi="Times New Roman" w:cs="Times New Roman"/>
                <w:color w:val="auto"/>
                <w:szCs w:val="21"/>
              </w:rPr>
            </w:pPr>
          </w:p>
        </w:tc>
      </w:tr>
    </w:tbl>
    <w:p w14:paraId="5547122F">
      <w:pPr>
        <w:widowControl/>
        <w:autoSpaceDE w:val="0"/>
        <w:autoSpaceDN w:val="0"/>
        <w:spacing w:line="360" w:lineRule="atLeast"/>
        <w:ind w:left="180"/>
        <w:textAlignment w:val="bottom"/>
        <w:rPr>
          <w:rFonts w:ascii="Times New Roman" w:hAnsi="Times New Roman" w:cs="Times New Roman"/>
          <w:color w:val="auto"/>
          <w:sz w:val="20"/>
          <w:szCs w:val="20"/>
        </w:rPr>
      </w:pPr>
      <w:r>
        <w:rPr>
          <w:rFonts w:ascii="Times New Roman" w:hAnsi="Times New Roman" w:eastAsia="黑体" w:cs="Times New Roman"/>
          <w:color w:val="auto"/>
          <w:szCs w:val="21"/>
        </w:rPr>
        <w:t>注：</w:t>
      </w:r>
    </w:p>
    <w:p w14:paraId="22918698">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ascii="Times New Roman" w:hAnsi="Times New Roman" w:eastAsia="黑体" w:cs="Times New Roman"/>
          <w:color w:val="auto"/>
          <w:szCs w:val="21"/>
        </w:rPr>
        <w:t>在本表后应附企业法人营业执照（事业单位法人证书，如有）、资质证书（如有）及资格审查要求的其他证件复印件。</w:t>
      </w:r>
    </w:p>
    <w:p w14:paraId="43E52FD0">
      <w:pPr>
        <w:tabs>
          <w:tab w:val="left" w:pos="3060"/>
        </w:tabs>
        <w:topLinePunct/>
        <w:spacing w:line="440" w:lineRule="exact"/>
        <w:jc w:val="center"/>
        <w:rPr>
          <w:rFonts w:ascii="Times New Roman" w:hAnsi="Times New Roman" w:eastAsia="黑体" w:cs="Times New Roman"/>
          <w:color w:val="auto"/>
          <w:sz w:val="28"/>
          <w:szCs w:val="28"/>
        </w:rPr>
      </w:pPr>
      <w:bookmarkStart w:id="152" w:name="_Toc5889_WPSOffice_Level1"/>
      <w:bookmarkStart w:id="153" w:name="_Toc27376_WPSOffice_Level1"/>
      <w:bookmarkStart w:id="154" w:name="_Toc26594_WPSOffice_Level1"/>
      <w:bookmarkStart w:id="155" w:name="_Toc27072_WPSOffice_Level1"/>
      <w:r>
        <w:rPr>
          <w:rFonts w:hint="eastAsia" w:ascii="Times New Roman" w:hAnsi="Times New Roman" w:eastAsia="黑体" w:cs="Times New Roman"/>
          <w:color w:val="auto"/>
          <w:sz w:val="28"/>
          <w:szCs w:val="28"/>
        </w:rPr>
        <w:br w:type="page"/>
      </w:r>
      <w:r>
        <w:rPr>
          <w:rFonts w:hint="eastAsia" w:ascii="Times New Roman" w:hAnsi="Times New Roman" w:eastAsia="黑体" w:cs="Times New Roman"/>
          <w:color w:val="auto"/>
          <w:sz w:val="28"/>
          <w:szCs w:val="28"/>
        </w:rPr>
        <w:t>五</w:t>
      </w:r>
      <w:r>
        <w:rPr>
          <w:rFonts w:ascii="Times New Roman" w:hAnsi="Times New Roman" w:eastAsia="黑体" w:cs="Times New Roman"/>
          <w:color w:val="auto"/>
          <w:sz w:val="28"/>
          <w:szCs w:val="28"/>
        </w:rPr>
        <w:t>、业绩情况</w:t>
      </w:r>
    </w:p>
    <w:p w14:paraId="5F93B587">
      <w:pPr>
        <w:tabs>
          <w:tab w:val="left" w:pos="3060"/>
        </w:tabs>
        <w:topLinePunct/>
        <w:spacing w:line="440" w:lineRule="exact"/>
        <w:jc w:val="center"/>
        <w:rPr>
          <w:rFonts w:ascii="Times New Roman" w:hAnsi="Times New Roman" w:eastAsia="黑体" w:cs="Times New Roman"/>
          <w:color w:val="auto"/>
          <w:sz w:val="28"/>
          <w:szCs w:val="28"/>
        </w:rPr>
      </w:pPr>
    </w:p>
    <w:tbl>
      <w:tblPr>
        <w:tblStyle w:val="20"/>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5899"/>
      </w:tblGrid>
      <w:tr w14:paraId="0819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933CB3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项目名称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3993E3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779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0465F82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w:t>
            </w:r>
            <w:r>
              <w:rPr>
                <w:rFonts w:hint="default" w:ascii="Times New Roman" w:hAnsi="Times New Roman" w:cs="Times New Roman"/>
                <w:color w:val="auto"/>
                <w:szCs w:val="21"/>
              </w:rPr>
              <w:t>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182AE7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2451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2286D7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业主代表姓名</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8D6FF3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5FAA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B332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w:t>
            </w:r>
            <w:r>
              <w:rPr>
                <w:rFonts w:hint="default" w:ascii="Times New Roman" w:hAnsi="Times New Roman" w:cs="Times New Roman"/>
                <w:color w:val="auto"/>
                <w:szCs w:val="21"/>
              </w:rPr>
              <w:t>电话</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59B90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076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17BF17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合同价格</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641AAA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3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F4E0FE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lang w:val="en-US" w:eastAsia="zh-CN"/>
              </w:rPr>
              <w:t>供货</w:t>
            </w:r>
            <w:r>
              <w:rPr>
                <w:rFonts w:hint="eastAsia" w:ascii="Times New Roman" w:hAnsi="Times New Roman" w:cs="Times New Roman"/>
                <w:color w:val="auto"/>
                <w:szCs w:val="21"/>
              </w:rPr>
              <w:t>内容</w:t>
            </w:r>
            <w:r>
              <w:rPr>
                <w:rFonts w:hint="default" w:ascii="Times New Roman" w:hAnsi="Times New Roman" w:cs="Times New Roman"/>
                <w:color w:val="auto"/>
                <w:szCs w:val="21"/>
              </w:rPr>
              <w:t>描述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16796A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55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B3A1DA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备注</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2A74865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bl>
    <w:p w14:paraId="72A07F0C">
      <w:pPr>
        <w:widowControl/>
        <w:autoSpaceDE w:val="0"/>
        <w:autoSpaceDN w:val="0"/>
        <w:spacing w:line="360" w:lineRule="atLeast"/>
        <w:ind w:left="418" w:hanging="418" w:hangingChars="209"/>
        <w:textAlignment w:val="bottom"/>
        <w:rPr>
          <w:rFonts w:ascii="Times New Roman" w:hAnsi="Times New Roman" w:eastAsia="黑体" w:cs="Times New Roman"/>
          <w:color w:val="auto"/>
          <w:szCs w:val="21"/>
        </w:rPr>
      </w:pPr>
      <w:r>
        <w:rPr>
          <w:rFonts w:ascii="Times New Roman" w:hAnsi="Times New Roman" w:eastAsia="黑体" w:cs="Times New Roman"/>
          <w:color w:val="auto"/>
          <w:sz w:val="20"/>
          <w:szCs w:val="20"/>
        </w:rPr>
        <w:t>注：</w:t>
      </w:r>
    </w:p>
    <w:p w14:paraId="1236DFD4">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1、</w:t>
      </w:r>
      <w:r>
        <w:rPr>
          <w:rFonts w:ascii="Times New Roman" w:hAnsi="Times New Roman" w:eastAsia="黑体" w:cs="Times New Roman"/>
          <w:color w:val="auto"/>
          <w:szCs w:val="21"/>
        </w:rPr>
        <w:t>每张表格只填写一个项目，并标明序号。</w:t>
      </w:r>
    </w:p>
    <w:p w14:paraId="5E359437">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2、业绩证明材料要求：_</w:t>
      </w:r>
      <w:r>
        <w:rPr>
          <w:rFonts w:hint="eastAsia" w:ascii="Times New Roman" w:hAnsi="Times New Roman" w:eastAsia="黑体" w:cs="Times New Roman"/>
          <w:color w:val="auto"/>
          <w:szCs w:val="21"/>
          <w:u w:val="single"/>
        </w:rPr>
        <w:t>满足前附表要求</w:t>
      </w:r>
      <w:r>
        <w:rPr>
          <w:rFonts w:hint="eastAsia" w:ascii="Times New Roman" w:hAnsi="Times New Roman" w:eastAsia="黑体" w:cs="Times New Roman"/>
          <w:color w:val="auto"/>
          <w:szCs w:val="21"/>
        </w:rPr>
        <w:t>__。</w:t>
      </w:r>
    </w:p>
    <w:p w14:paraId="4883F7C4">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3、</w:t>
      </w:r>
      <w:r>
        <w:rPr>
          <w:rFonts w:ascii="Times New Roman" w:hAnsi="Times New Roman" w:eastAsia="黑体" w:cs="Times New Roman"/>
          <w:color w:val="auto"/>
          <w:szCs w:val="21"/>
        </w:rPr>
        <w:t>如近年来，供应商法人机构发生合法变更或重组或法人名称变更时，应提供相关部门的合法批件或其他相关证明材料来证明其所附业绩的继承性。</w:t>
      </w:r>
    </w:p>
    <w:p w14:paraId="09C508BA">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66EC77F9">
      <w:pPr>
        <w:pStyle w:val="7"/>
        <w:rPr>
          <w:rFonts w:eastAsia="黑体"/>
          <w:color w:val="auto"/>
        </w:rPr>
      </w:pPr>
    </w:p>
    <w:p w14:paraId="18C37256">
      <w:pPr>
        <w:pStyle w:val="7"/>
        <w:rPr>
          <w:rFonts w:ascii="Times New Roman" w:hAnsi="Times New Roman"/>
          <w:color w:val="auto"/>
        </w:rPr>
      </w:pPr>
    </w:p>
    <w:p w14:paraId="1D060FC8">
      <w:pPr>
        <w:topLinePunct/>
        <w:spacing w:line="340" w:lineRule="atLeast"/>
        <w:jc w:val="center"/>
        <w:rPr>
          <w:rFonts w:ascii="Times New Roman" w:hAnsi="Times New Roman" w:eastAsia="黑体" w:cs="Times New Roman"/>
          <w:color w:val="auto"/>
          <w:sz w:val="24"/>
        </w:rPr>
      </w:pPr>
      <w:r>
        <w:rPr>
          <w:rFonts w:ascii="Times New Roman" w:hAnsi="Times New Roman" w:eastAsia="黑体" w:cs="Times New Roman"/>
          <w:color w:val="auto"/>
          <w:sz w:val="28"/>
          <w:szCs w:val="28"/>
        </w:rPr>
        <w:br w:type="page"/>
      </w:r>
    </w:p>
    <w:p w14:paraId="0C982A86">
      <w:pPr>
        <w:tabs>
          <w:tab w:val="left" w:pos="3060"/>
        </w:tabs>
        <w:topLinePunct/>
        <w:spacing w:line="440" w:lineRule="exact"/>
        <w:jc w:val="center"/>
        <w:outlineLvl w:val="1"/>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六</w:t>
      </w:r>
      <w:r>
        <w:rPr>
          <w:rFonts w:ascii="Times New Roman" w:hAnsi="Times New Roman" w:eastAsia="黑体" w:cs="Times New Roman"/>
          <w:color w:val="auto"/>
          <w:sz w:val="28"/>
          <w:szCs w:val="28"/>
        </w:rPr>
        <w:t>、信誉情况</w:t>
      </w:r>
      <w:bookmarkEnd w:id="152"/>
      <w:bookmarkEnd w:id="153"/>
      <w:bookmarkEnd w:id="154"/>
      <w:bookmarkEnd w:id="155"/>
    </w:p>
    <w:p w14:paraId="44A4195E">
      <w:pPr>
        <w:topLinePunct/>
        <w:spacing w:line="440" w:lineRule="exact"/>
        <w:rPr>
          <w:rFonts w:ascii="Times New Roman" w:hAnsi="Times New Roman" w:cs="Times New Roman"/>
          <w:bCs/>
          <w:color w:val="auto"/>
          <w:sz w:val="23"/>
          <w:szCs w:val="23"/>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31C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66DF7F3">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445" w:type="dxa"/>
          </w:tcPr>
          <w:p w14:paraId="23CE0616">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14:paraId="6854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4E1794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是否被责令停业，暂扣或吊销执照，或吊销资质证书</w:t>
            </w:r>
          </w:p>
        </w:tc>
        <w:tc>
          <w:tcPr>
            <w:tcW w:w="4445" w:type="dxa"/>
            <w:vAlign w:val="center"/>
          </w:tcPr>
          <w:p w14:paraId="58F5CA0B">
            <w:pPr>
              <w:topLinePunct/>
              <w:spacing w:line="440" w:lineRule="exact"/>
              <w:jc w:val="center"/>
              <w:rPr>
                <w:rFonts w:ascii="Times New Roman" w:hAnsi="Times New Roman" w:eastAsia="黑体" w:cs="Times New Roman"/>
                <w:bCs/>
                <w:color w:val="auto"/>
                <w:szCs w:val="21"/>
              </w:rPr>
            </w:pPr>
          </w:p>
        </w:tc>
      </w:tr>
      <w:tr w14:paraId="7D42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BF57A1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是否进入清算程序，或被宣告破产，或其他丧失履约能力的情形</w:t>
            </w:r>
          </w:p>
        </w:tc>
        <w:tc>
          <w:tcPr>
            <w:tcW w:w="4445" w:type="dxa"/>
            <w:vAlign w:val="center"/>
          </w:tcPr>
          <w:p w14:paraId="3359208A">
            <w:pPr>
              <w:topLinePunct/>
              <w:spacing w:line="440" w:lineRule="exact"/>
              <w:jc w:val="center"/>
              <w:rPr>
                <w:rFonts w:ascii="Times New Roman" w:hAnsi="Times New Roman" w:cs="Times New Roman"/>
                <w:bCs/>
                <w:color w:val="auto"/>
                <w:szCs w:val="21"/>
              </w:rPr>
            </w:pPr>
          </w:p>
        </w:tc>
      </w:tr>
      <w:tr w14:paraId="3EC1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F07017D">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是否在国家企业信用信息公示系统（www.gsxt.gov.cn）中被列入严重违法失信企业名单</w:t>
            </w:r>
          </w:p>
        </w:tc>
        <w:tc>
          <w:tcPr>
            <w:tcW w:w="4445" w:type="dxa"/>
            <w:vAlign w:val="center"/>
          </w:tcPr>
          <w:p w14:paraId="7AD0FE89">
            <w:pPr>
              <w:topLinePunct/>
              <w:spacing w:line="440" w:lineRule="exact"/>
              <w:jc w:val="center"/>
              <w:rPr>
                <w:rFonts w:ascii="Times New Roman" w:hAnsi="Times New Roman" w:cs="Times New Roman"/>
                <w:bCs/>
                <w:color w:val="auto"/>
                <w:szCs w:val="21"/>
              </w:rPr>
            </w:pPr>
          </w:p>
        </w:tc>
      </w:tr>
      <w:tr w14:paraId="0EF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99AB72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是否在“信用中国”网站（www.creditchina.gov.cn）中被列入失信被执行人名单</w:t>
            </w:r>
          </w:p>
        </w:tc>
        <w:tc>
          <w:tcPr>
            <w:tcW w:w="4445" w:type="dxa"/>
            <w:vAlign w:val="center"/>
          </w:tcPr>
          <w:p w14:paraId="2F70A1DE">
            <w:pPr>
              <w:topLinePunct/>
              <w:spacing w:line="440" w:lineRule="exact"/>
              <w:jc w:val="center"/>
              <w:rPr>
                <w:rFonts w:ascii="Times New Roman" w:hAnsi="Times New Roman" w:cs="Times New Roman"/>
                <w:bCs/>
                <w:color w:val="auto"/>
                <w:szCs w:val="21"/>
              </w:rPr>
            </w:pPr>
          </w:p>
        </w:tc>
      </w:tr>
      <w:tr w14:paraId="215B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5A33E7B">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是否在近三年内（自响应文件递交截止之日向前追溯3年）供应商或其法定代表人、拟委任的项目经理（如有）有行贿犯罪行为</w:t>
            </w:r>
          </w:p>
        </w:tc>
        <w:tc>
          <w:tcPr>
            <w:tcW w:w="4445" w:type="dxa"/>
            <w:vAlign w:val="center"/>
          </w:tcPr>
          <w:p w14:paraId="72A0E419">
            <w:pPr>
              <w:topLinePunct/>
              <w:spacing w:line="440" w:lineRule="exact"/>
              <w:jc w:val="center"/>
              <w:rPr>
                <w:rFonts w:ascii="Times New Roman" w:hAnsi="Times New Roman" w:cs="Times New Roman"/>
                <w:bCs/>
                <w:color w:val="auto"/>
                <w:szCs w:val="21"/>
              </w:rPr>
            </w:pPr>
          </w:p>
        </w:tc>
      </w:tr>
      <w:tr w14:paraId="5DF3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1C0C2BF">
            <w:pPr>
              <w:topLinePunct/>
              <w:spacing w:line="440" w:lineRule="exact"/>
              <w:rPr>
                <w:rFonts w:ascii="Times New Roman" w:hAnsi="Times New Roman" w:cs="Times New Roman"/>
                <w:color w:val="auto"/>
                <w:sz w:val="24"/>
                <w:szCs w:val="28"/>
              </w:rPr>
            </w:pPr>
            <w:r>
              <w:rPr>
                <w:rFonts w:ascii="Times New Roman" w:hAnsi="Times New Roman" w:cs="Times New Roman"/>
                <w:color w:val="auto"/>
                <w:sz w:val="24"/>
                <w:szCs w:val="28"/>
              </w:rPr>
              <w:t>……</w:t>
            </w:r>
          </w:p>
        </w:tc>
        <w:tc>
          <w:tcPr>
            <w:tcW w:w="4445" w:type="dxa"/>
          </w:tcPr>
          <w:p w14:paraId="6AFBEE5A">
            <w:pPr>
              <w:topLinePunct/>
              <w:spacing w:line="440" w:lineRule="exact"/>
              <w:rPr>
                <w:rFonts w:ascii="Times New Roman" w:hAnsi="Times New Roman" w:cs="Times New Roman"/>
                <w:bCs/>
                <w:color w:val="auto"/>
                <w:szCs w:val="21"/>
              </w:rPr>
            </w:pPr>
          </w:p>
        </w:tc>
      </w:tr>
    </w:tbl>
    <w:p w14:paraId="729D7498">
      <w:pPr>
        <w:spacing w:line="440" w:lineRule="exact"/>
        <w:jc w:val="left"/>
        <w:rPr>
          <w:rFonts w:ascii="Times New Roman" w:hAnsi="Times New Roman" w:cs="Times New Roman"/>
          <w:color w:val="auto"/>
          <w:sz w:val="24"/>
        </w:rPr>
      </w:pPr>
      <w:r>
        <w:rPr>
          <w:rFonts w:ascii="Times New Roman" w:hAnsi="Times New Roman" w:cs="Times New Roman"/>
          <w:color w:val="auto"/>
          <w:sz w:val="24"/>
        </w:rPr>
        <w:t>注：本表</w:t>
      </w:r>
      <w:r>
        <w:rPr>
          <w:rFonts w:hint="eastAsia" w:ascii="Times New Roman" w:hAnsi="Times New Roman" w:cs="Times New Roman"/>
          <w:color w:val="auto"/>
          <w:sz w:val="24"/>
        </w:rPr>
        <w:t>无</w:t>
      </w:r>
      <w:r>
        <w:rPr>
          <w:rFonts w:ascii="Times New Roman" w:hAnsi="Times New Roman" w:cs="Times New Roman"/>
          <w:color w:val="auto"/>
          <w:sz w:val="24"/>
        </w:rPr>
        <w:t>需附证明材料</w:t>
      </w:r>
      <w:r>
        <w:rPr>
          <w:rFonts w:hint="eastAsia" w:ascii="Times New Roman" w:hAnsi="Times New Roman" w:cs="Times New Roman"/>
          <w:color w:val="auto"/>
          <w:sz w:val="24"/>
        </w:rPr>
        <w:t>，供应商应如实填写情况说明，如无以上内容，可在情况说明处填写无即可，如有弄虚作假行为，采购人保留对供应商依法依规处理的权利</w:t>
      </w:r>
      <w:r>
        <w:rPr>
          <w:rFonts w:ascii="Times New Roman" w:hAnsi="Times New Roman" w:cs="Times New Roman"/>
          <w:color w:val="auto"/>
          <w:sz w:val="24"/>
        </w:rPr>
        <w:t>。</w:t>
      </w:r>
    </w:p>
    <w:p w14:paraId="1D8ECE6D">
      <w:pPr>
        <w:pStyle w:val="7"/>
        <w:jc w:val="right"/>
        <w:rPr>
          <w:rFonts w:ascii="Times New Roman" w:hAnsi="Times New Roman" w:cs="Times New Roman"/>
          <w:color w:val="auto"/>
          <w:sz w:val="24"/>
        </w:rPr>
      </w:pPr>
    </w:p>
    <w:p w14:paraId="0A91F1F5">
      <w:pPr>
        <w:spacing w:line="440" w:lineRule="exact"/>
        <w:jc w:val="righ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1BFC0CFD">
      <w:pPr>
        <w:pStyle w:val="19"/>
        <w:tabs>
          <w:tab w:val="left" w:pos="1078"/>
          <w:tab w:val="left" w:pos="1176"/>
          <w:tab w:val="left" w:pos="1638"/>
          <w:tab w:val="left" w:pos="3920"/>
          <w:tab w:val="left" w:pos="5670"/>
        </w:tabs>
        <w:ind w:left="0" w:leftChars="0" w:firstLine="4320" w:firstLineChars="1800"/>
        <w:rPr>
          <w:rFonts w:ascii="Times New Roman" w:hAnsi="Times New Roman" w:cs="Times New Roman"/>
          <w:color w:val="auto"/>
          <w:sz w:val="24"/>
          <w:u w:val="single"/>
        </w:rPr>
      </w:pPr>
    </w:p>
    <w:p w14:paraId="2F8AF63E">
      <w:pPr>
        <w:pStyle w:val="19"/>
        <w:tabs>
          <w:tab w:val="left" w:pos="1078"/>
          <w:tab w:val="left" w:pos="1176"/>
          <w:tab w:val="left" w:pos="1638"/>
          <w:tab w:val="left" w:pos="3920"/>
          <w:tab w:val="left" w:pos="5670"/>
        </w:tabs>
        <w:ind w:left="0" w:leftChars="0" w:firstLine="4320" w:firstLineChars="1800"/>
        <w:rPr>
          <w:rFonts w:ascii="Times New Roman" w:hAnsi="Times New Roman" w:eastAsia="黑体" w:cs="Times New Roman"/>
          <w:color w:val="auto"/>
          <w:sz w:val="28"/>
          <w:szCs w:val="28"/>
        </w:rPr>
      </w:pP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01156213">
      <w:pPr>
        <w:pStyle w:val="19"/>
        <w:tabs>
          <w:tab w:val="left" w:pos="1078"/>
          <w:tab w:val="left" w:pos="1176"/>
          <w:tab w:val="left" w:pos="1638"/>
          <w:tab w:val="left" w:pos="3920"/>
          <w:tab w:val="left" w:pos="5670"/>
        </w:tabs>
        <w:ind w:firstLine="560"/>
        <w:rPr>
          <w:rFonts w:ascii="Times New Roman" w:hAnsi="Times New Roman" w:eastAsia="黑体" w:cs="Times New Roman"/>
          <w:color w:val="auto"/>
          <w:sz w:val="28"/>
          <w:szCs w:val="28"/>
        </w:rPr>
      </w:pPr>
    </w:p>
    <w:p w14:paraId="2C601333">
      <w:pPr>
        <w:widowControl/>
        <w:spacing w:line="440" w:lineRule="exact"/>
        <w:jc w:val="center"/>
        <w:rPr>
          <w:color w:val="auto"/>
        </w:rPr>
      </w:pPr>
    </w:p>
    <w:p w14:paraId="7CCD4A04">
      <w:pPr>
        <w:widowControl/>
        <w:spacing w:line="440" w:lineRule="exact"/>
        <w:jc w:val="center"/>
        <w:rPr>
          <w:color w:val="auto"/>
        </w:rPr>
      </w:pPr>
    </w:p>
    <w:p w14:paraId="6A9D7386">
      <w:pPr>
        <w:spacing w:line="440" w:lineRule="exact"/>
        <w:jc w:val="center"/>
        <w:rPr>
          <w:rFonts w:ascii="Times New Roman" w:hAnsi="Times New Roman" w:eastAsia="黑体" w:cs="Times New Roman"/>
          <w:color w:val="auto"/>
          <w:sz w:val="28"/>
          <w:szCs w:val="28"/>
        </w:rPr>
      </w:pPr>
      <w:bookmarkStart w:id="156" w:name="_Toc22014_WPSOffice_Level1"/>
      <w:bookmarkStart w:id="157" w:name="_Toc4822_WPSOffice_Level1"/>
    </w:p>
    <w:p w14:paraId="3565CBD9">
      <w:pPr>
        <w:spacing w:line="440" w:lineRule="exact"/>
        <w:jc w:val="center"/>
        <w:outlineLvl w:val="1"/>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七</w:t>
      </w:r>
      <w:r>
        <w:rPr>
          <w:rFonts w:ascii="Times New Roman" w:hAnsi="Times New Roman" w:eastAsia="黑体" w:cs="Times New Roman"/>
          <w:color w:val="auto"/>
          <w:sz w:val="28"/>
          <w:szCs w:val="28"/>
        </w:rPr>
        <w:t>、其它材料</w:t>
      </w:r>
      <w:bookmarkEnd w:id="156"/>
      <w:bookmarkEnd w:id="157"/>
    </w:p>
    <w:p w14:paraId="1D4A1A74">
      <w:pPr>
        <w:pStyle w:val="7"/>
        <w:spacing w:line="360" w:lineRule="auto"/>
        <w:outlineLvl w:val="0"/>
        <w:rPr>
          <w:rFonts w:ascii="Times New Roman" w:hAnsi="Times New Roman"/>
          <w:color w:val="auto"/>
          <w:szCs w:val="28"/>
        </w:rPr>
      </w:pPr>
      <w:bookmarkStart w:id="158" w:name="_Toc26833"/>
      <w:bookmarkStart w:id="159" w:name="_Toc25270"/>
      <w:bookmarkStart w:id="160" w:name="_Toc12549"/>
      <w:bookmarkStart w:id="161" w:name="_Toc1852"/>
      <w:bookmarkStart w:id="162" w:name="_Toc22251"/>
      <w:bookmarkStart w:id="163" w:name="_Toc3540"/>
      <w:bookmarkStart w:id="164" w:name="_Toc32376"/>
      <w:bookmarkStart w:id="165" w:name="_Toc27019"/>
      <w:r>
        <w:rPr>
          <w:rFonts w:hint="eastAsia" w:ascii="Times New Roman" w:hAnsi="Times New Roman"/>
          <w:color w:val="auto"/>
          <w:szCs w:val="28"/>
          <w:lang w:val="en-US" w:eastAsia="zh-CN"/>
        </w:rPr>
        <w:t>响应保证金的银行凭证（电汇回单）复印件以及</w:t>
      </w:r>
      <w:r>
        <w:rPr>
          <w:rFonts w:hint="eastAsia" w:ascii="Times New Roman" w:hAnsi="Times New Roman"/>
          <w:color w:val="auto"/>
          <w:szCs w:val="28"/>
        </w:rPr>
        <w:t>供应商认为需要递交的其它材料。</w:t>
      </w:r>
      <w:bookmarkEnd w:id="158"/>
      <w:bookmarkEnd w:id="159"/>
      <w:bookmarkEnd w:id="160"/>
      <w:bookmarkEnd w:id="161"/>
      <w:bookmarkEnd w:id="162"/>
      <w:bookmarkEnd w:id="163"/>
      <w:bookmarkEnd w:id="164"/>
      <w:bookmarkEnd w:id="165"/>
    </w:p>
    <w:p w14:paraId="3EE586B8">
      <w:pPr>
        <w:rPr>
          <w:rFonts w:ascii="Times New Roman" w:hAnsi="Times New Roman"/>
          <w:color w:val="auto"/>
          <w:szCs w:val="28"/>
        </w:rPr>
      </w:pPr>
    </w:p>
    <w:p w14:paraId="066E0BA0">
      <w:pPr>
        <w:pStyle w:val="19"/>
        <w:tabs>
          <w:tab w:val="left" w:pos="1078"/>
          <w:tab w:val="left" w:pos="1176"/>
          <w:tab w:val="left" w:pos="1638"/>
          <w:tab w:val="left" w:pos="3920"/>
          <w:tab w:val="left" w:pos="5670"/>
        </w:tabs>
        <w:rPr>
          <w:rFonts w:ascii="Times New Roman" w:hAnsi="Times New Roman"/>
          <w:color w:val="auto"/>
          <w:szCs w:val="28"/>
        </w:rPr>
      </w:pPr>
    </w:p>
    <w:p w14:paraId="46C0B73E">
      <w:pPr>
        <w:pStyle w:val="18"/>
        <w:ind w:firstLine="210"/>
        <w:rPr>
          <w:rFonts w:ascii="Times New Roman" w:hAnsi="Times New Roman"/>
          <w:color w:val="auto"/>
          <w:szCs w:val="28"/>
        </w:rPr>
      </w:pPr>
    </w:p>
    <w:p w14:paraId="6A428F40">
      <w:pPr>
        <w:pStyle w:val="18"/>
        <w:ind w:firstLine="210"/>
        <w:rPr>
          <w:rFonts w:ascii="Times New Roman" w:hAnsi="Times New Roman"/>
          <w:color w:val="auto"/>
          <w:szCs w:val="28"/>
        </w:rPr>
      </w:pPr>
    </w:p>
    <w:p w14:paraId="167E8044">
      <w:pPr>
        <w:pStyle w:val="18"/>
        <w:ind w:firstLine="210"/>
        <w:rPr>
          <w:rFonts w:ascii="Times New Roman" w:hAnsi="Times New Roman"/>
          <w:color w:val="auto"/>
          <w:szCs w:val="28"/>
        </w:rPr>
      </w:pPr>
    </w:p>
    <w:p w14:paraId="0E0B6767">
      <w:pPr>
        <w:pStyle w:val="18"/>
        <w:ind w:firstLine="210"/>
        <w:rPr>
          <w:rFonts w:ascii="Times New Roman" w:hAnsi="Times New Roman"/>
          <w:color w:val="auto"/>
          <w:szCs w:val="28"/>
        </w:rPr>
      </w:pPr>
    </w:p>
    <w:p w14:paraId="668AA4D2">
      <w:pPr>
        <w:pStyle w:val="18"/>
        <w:ind w:firstLine="210"/>
        <w:rPr>
          <w:rFonts w:ascii="Times New Roman" w:hAnsi="Times New Roman"/>
          <w:color w:val="auto"/>
          <w:szCs w:val="28"/>
        </w:rPr>
      </w:pPr>
    </w:p>
    <w:p w14:paraId="6FE1F449">
      <w:pPr>
        <w:pStyle w:val="18"/>
        <w:ind w:firstLine="210"/>
        <w:rPr>
          <w:rFonts w:ascii="Times New Roman" w:hAnsi="Times New Roman"/>
          <w:color w:val="auto"/>
          <w:szCs w:val="28"/>
        </w:rPr>
      </w:pPr>
    </w:p>
    <w:p w14:paraId="4A659938">
      <w:pPr>
        <w:pStyle w:val="18"/>
        <w:ind w:firstLine="210"/>
        <w:rPr>
          <w:rFonts w:ascii="Times New Roman" w:hAnsi="Times New Roman"/>
          <w:color w:val="auto"/>
          <w:szCs w:val="28"/>
        </w:rPr>
      </w:pPr>
    </w:p>
    <w:p w14:paraId="36B3C732">
      <w:pPr>
        <w:pStyle w:val="18"/>
        <w:ind w:firstLine="210"/>
        <w:rPr>
          <w:rFonts w:ascii="Times New Roman" w:hAnsi="Times New Roman"/>
          <w:color w:val="auto"/>
          <w:szCs w:val="28"/>
        </w:rPr>
      </w:pPr>
    </w:p>
    <w:p w14:paraId="29ED9871">
      <w:pPr>
        <w:pStyle w:val="19"/>
        <w:tabs>
          <w:tab w:val="left" w:pos="1078"/>
          <w:tab w:val="left" w:pos="1176"/>
          <w:tab w:val="left" w:pos="1638"/>
          <w:tab w:val="left" w:pos="3920"/>
          <w:tab w:val="left" w:pos="5670"/>
        </w:tabs>
        <w:ind w:left="0" w:leftChars="0" w:firstLine="0" w:firstLineChars="0"/>
        <w:rPr>
          <w:rFonts w:eastAsia="宋体"/>
          <w:color w:val="auto"/>
        </w:rPr>
      </w:pPr>
    </w:p>
    <w:bookmarkEnd w:id="69"/>
    <w:bookmarkEnd w:id="70"/>
    <w:bookmarkEnd w:id="71"/>
    <w:bookmarkEnd w:id="72"/>
    <w:bookmarkEnd w:id="73"/>
    <w:bookmarkEnd w:id="74"/>
    <w:bookmarkEnd w:id="75"/>
    <w:bookmarkEnd w:id="76"/>
    <w:bookmarkEnd w:id="77"/>
    <w:bookmarkEnd w:id="78"/>
    <w:p w14:paraId="1AFDE146">
      <w:pPr>
        <w:pStyle w:val="33"/>
        <w:rPr>
          <w:color w:val="auto"/>
        </w:rPr>
      </w:pPr>
    </w:p>
    <w:p w14:paraId="18B7F314">
      <w:pPr>
        <w:spacing w:line="440" w:lineRule="exact"/>
        <w:jc w:val="center"/>
        <w:rPr>
          <w:rFonts w:ascii="Times New Roman" w:hAnsi="Times New Roman" w:eastAsia="黑体" w:cs="Times New Roman"/>
          <w:color w:val="auto"/>
          <w:sz w:val="28"/>
          <w:szCs w:val="28"/>
        </w:rPr>
      </w:pPr>
    </w:p>
    <w:p w14:paraId="63F50607">
      <w:pPr>
        <w:spacing w:line="440" w:lineRule="exact"/>
        <w:jc w:val="center"/>
        <w:rPr>
          <w:rFonts w:ascii="Times New Roman" w:hAnsi="Times New Roman" w:eastAsia="黑体" w:cs="Times New Roman"/>
          <w:color w:val="auto"/>
          <w:sz w:val="28"/>
          <w:szCs w:val="28"/>
        </w:rPr>
      </w:pPr>
    </w:p>
    <w:p w14:paraId="49F52A7C">
      <w:pPr>
        <w:spacing w:line="440" w:lineRule="exact"/>
        <w:jc w:val="center"/>
        <w:rPr>
          <w:rFonts w:ascii="Times New Roman" w:hAnsi="Times New Roman" w:eastAsia="黑体" w:cs="Times New Roman"/>
          <w:color w:val="auto"/>
          <w:sz w:val="28"/>
          <w:szCs w:val="28"/>
        </w:rPr>
      </w:pPr>
    </w:p>
    <w:p w14:paraId="5D6BBF1F">
      <w:pPr>
        <w:spacing w:line="440" w:lineRule="exact"/>
        <w:jc w:val="center"/>
        <w:rPr>
          <w:rFonts w:ascii="Times New Roman" w:hAnsi="Times New Roman" w:eastAsia="黑体" w:cs="Times New Roman"/>
          <w:color w:val="auto"/>
          <w:sz w:val="28"/>
          <w:szCs w:val="28"/>
        </w:rPr>
      </w:pPr>
    </w:p>
    <w:p w14:paraId="098FED92">
      <w:pPr>
        <w:spacing w:line="440" w:lineRule="exact"/>
        <w:jc w:val="center"/>
        <w:rPr>
          <w:rFonts w:ascii="Times New Roman" w:hAnsi="Times New Roman" w:eastAsia="黑体" w:cs="Times New Roman"/>
          <w:color w:val="auto"/>
          <w:sz w:val="28"/>
          <w:szCs w:val="28"/>
        </w:rPr>
      </w:pPr>
    </w:p>
    <w:p w14:paraId="71999D54">
      <w:pPr>
        <w:spacing w:line="440" w:lineRule="exact"/>
        <w:jc w:val="center"/>
        <w:rPr>
          <w:rFonts w:ascii="Times New Roman" w:hAnsi="Times New Roman" w:eastAsia="黑体" w:cs="Times New Roman"/>
          <w:color w:val="auto"/>
          <w:sz w:val="28"/>
          <w:szCs w:val="28"/>
        </w:rPr>
      </w:pPr>
    </w:p>
    <w:p w14:paraId="2D358E90">
      <w:pPr>
        <w:spacing w:line="440" w:lineRule="exact"/>
        <w:jc w:val="center"/>
        <w:rPr>
          <w:rFonts w:ascii="Times New Roman" w:hAnsi="Times New Roman" w:eastAsia="黑体" w:cs="Times New Roman"/>
          <w:color w:val="auto"/>
          <w:sz w:val="28"/>
          <w:szCs w:val="28"/>
        </w:rPr>
      </w:pPr>
    </w:p>
    <w:p w14:paraId="7AAAE547">
      <w:pPr>
        <w:spacing w:line="440" w:lineRule="exact"/>
        <w:jc w:val="center"/>
        <w:rPr>
          <w:rFonts w:ascii="Times New Roman" w:hAnsi="Times New Roman" w:eastAsia="黑体" w:cs="Times New Roman"/>
          <w:color w:val="auto"/>
          <w:sz w:val="28"/>
          <w:szCs w:val="28"/>
        </w:rPr>
      </w:pPr>
    </w:p>
    <w:p w14:paraId="092AD320">
      <w:pPr>
        <w:spacing w:line="440" w:lineRule="exact"/>
        <w:jc w:val="center"/>
        <w:rPr>
          <w:rFonts w:ascii="Times New Roman" w:hAnsi="Times New Roman" w:eastAsia="黑体" w:cs="Times New Roman"/>
          <w:color w:val="auto"/>
          <w:sz w:val="28"/>
          <w:szCs w:val="28"/>
        </w:rPr>
      </w:pPr>
    </w:p>
    <w:p w14:paraId="4AF22FB1">
      <w:pPr>
        <w:spacing w:line="440" w:lineRule="exact"/>
        <w:jc w:val="center"/>
        <w:rPr>
          <w:rFonts w:ascii="Times New Roman" w:hAnsi="Times New Roman" w:eastAsia="黑体" w:cs="Times New Roman"/>
          <w:color w:val="auto"/>
          <w:sz w:val="28"/>
          <w:szCs w:val="28"/>
        </w:rPr>
      </w:pPr>
    </w:p>
    <w:p w14:paraId="481C7490">
      <w:pPr>
        <w:spacing w:line="440" w:lineRule="exact"/>
        <w:jc w:val="center"/>
        <w:rPr>
          <w:rFonts w:ascii="Times New Roman" w:hAnsi="Times New Roman" w:eastAsia="黑体" w:cs="Times New Roman"/>
          <w:color w:val="auto"/>
          <w:sz w:val="28"/>
          <w:szCs w:val="28"/>
        </w:rPr>
      </w:pPr>
    </w:p>
    <w:p w14:paraId="06B09B4C">
      <w:pPr>
        <w:pStyle w:val="19"/>
        <w:ind w:firstLine="560"/>
        <w:rPr>
          <w:rFonts w:ascii="Times New Roman" w:hAnsi="Times New Roman" w:eastAsia="黑体" w:cs="Times New Roman"/>
          <w:color w:val="auto"/>
          <w:sz w:val="28"/>
          <w:szCs w:val="28"/>
        </w:rPr>
      </w:pPr>
    </w:p>
    <w:p w14:paraId="40426410">
      <w:pPr>
        <w:rPr>
          <w:rFonts w:ascii="Times New Roman" w:hAnsi="Times New Roman" w:eastAsia="黑体" w:cs="Times New Roman"/>
          <w:color w:val="auto"/>
          <w:sz w:val="28"/>
          <w:szCs w:val="28"/>
        </w:rPr>
      </w:pPr>
    </w:p>
    <w:p w14:paraId="4E058F28">
      <w:pPr>
        <w:pStyle w:val="19"/>
        <w:rPr>
          <w:color w:val="auto"/>
        </w:rPr>
      </w:pPr>
    </w:p>
    <w:p w14:paraId="4651C719">
      <w:pPr>
        <w:spacing w:line="440" w:lineRule="exact"/>
        <w:jc w:val="center"/>
        <w:rPr>
          <w:rFonts w:ascii="Times New Roman" w:hAnsi="Times New Roman" w:eastAsia="黑体" w:cs="Times New Roman"/>
          <w:color w:val="auto"/>
          <w:sz w:val="28"/>
          <w:szCs w:val="28"/>
        </w:rPr>
      </w:pPr>
    </w:p>
    <w:p w14:paraId="4A4FF48E">
      <w:pPr>
        <w:spacing w:line="440" w:lineRule="exact"/>
        <w:jc w:val="center"/>
        <w:rPr>
          <w:rFonts w:ascii="Times New Roman" w:hAnsi="Times New Roman" w:eastAsia="黑体" w:cs="Times New Roman"/>
          <w:color w:val="auto"/>
          <w:sz w:val="28"/>
          <w:szCs w:val="28"/>
        </w:rPr>
      </w:pPr>
    </w:p>
    <w:p w14:paraId="7865C9B1">
      <w:pPr>
        <w:rPr>
          <w:color w:val="auto"/>
        </w:rPr>
      </w:pPr>
    </w:p>
    <w:sectPr>
      <w:headerReference r:id="rId16" w:type="default"/>
      <w:footerReference r:id="rId1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90E01F-F30D-4986-B343-004DCAE171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A9E5D4B-0D7C-4225-B6D7-067F05E4B817}"/>
  </w:font>
  <w:font w:name="微软雅黑">
    <w:panose1 w:val="020B0503020204020204"/>
    <w:charset w:val="86"/>
    <w:family w:val="swiss"/>
    <w:pitch w:val="default"/>
    <w:sig w:usb0="80000287" w:usb1="2ACF3C50" w:usb2="00000016" w:usb3="00000000" w:csb0="0004001F" w:csb1="00000000"/>
    <w:embedRegular r:id="rId3" w:fontKey="{7997B414-03CD-45E3-94EC-5369F0056495}"/>
  </w:font>
  <w:font w:name="Fang Song">
    <w:altName w:val="宋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embedRegular r:id="rId4" w:fontKey="{5DACD445-FF5F-4A60-A0A5-E85560179456}"/>
  </w:font>
  <w:font w:name="仿宋_GB2312">
    <w:panose1 w:val="02010609030101010101"/>
    <w:charset w:val="86"/>
    <w:family w:val="modern"/>
    <w:pitch w:val="default"/>
    <w:sig w:usb0="00000001" w:usb1="080E0000" w:usb2="00000000" w:usb3="00000000" w:csb0="00040000" w:csb1="00000000"/>
    <w:embedRegular r:id="rId5" w:fontKey="{B7048B6B-BE84-4FF9-9E2A-B4004D979A23}"/>
  </w:font>
  <w:font w:name="方正小标宋简体">
    <w:panose1 w:val="02000000000000000000"/>
    <w:charset w:val="86"/>
    <w:family w:val="auto"/>
    <w:pitch w:val="default"/>
    <w:sig w:usb0="00000001" w:usb1="08000000" w:usb2="00000000" w:usb3="00000000" w:csb0="00040000" w:csb1="00000000"/>
    <w:embedRegular r:id="rId6" w:fontKey="{E34058B5-455F-4C41-84C9-89A8E1B7D879}"/>
  </w:font>
  <w:font w:name="楷体">
    <w:panose1 w:val="02010609060101010101"/>
    <w:charset w:val="86"/>
    <w:family w:val="auto"/>
    <w:pitch w:val="default"/>
    <w:sig w:usb0="800002BF" w:usb1="38CF7CFA" w:usb2="00000016" w:usb3="00000000" w:csb0="00040001" w:csb1="00000000"/>
    <w:embedRegular r:id="rId7" w:fontKey="{8EF806FD-1464-4D5C-B0E9-BA2D443345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99DE">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319B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13319B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8464">
    <w:pPr>
      <w:pStyle w:val="13"/>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8D950">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08D950">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2E95E4EB">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B299">
    <w:pPr>
      <w:pStyle w:val="13"/>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34AC0">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E34AC0">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03E89ED5">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6CF0">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D10A8">
                          <w:pPr>
                            <w:pStyle w:val="13"/>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FD10A8">
                    <w:pPr>
                      <w:pStyle w:val="13"/>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5090">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EA963">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8EA963">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D42F">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BB5A4">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DEBB5A4">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FEC9">
    <w:pPr>
      <w:pStyle w:val="13"/>
      <w:rPr>
        <w:rFonts w:hint="default"/>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6C4FE">
                          <w:pPr>
                            <w:pStyle w:val="1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AE6C4FE">
                    <w:pPr>
                      <w:pStyle w:val="1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8E1F3">
    <w:pPr>
      <w:pStyle w:val="13"/>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E0E25">
                          <w:pPr>
                            <w:pStyle w:val="13"/>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1EE0E25">
                    <w:pPr>
                      <w:pStyle w:val="13"/>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F7FE">
    <w:pPr>
      <w:pStyle w:val="8"/>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F5DB">
    <w:pPr>
      <w:pStyle w:val="8"/>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2050" o:spt="136" type="#_x0000_t136" style="position:absolute;left:0pt;height:62.3pt;width:524.9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2122">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8"/>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3D3DE">
    <w:pPr>
      <w:pStyle w:val="8"/>
      <w:pBdr>
        <w:bottom w:val="none" w:color="auto" w:sz="0" w:space="1"/>
      </w:pBdr>
      <w:jc w:val="left"/>
      <w:rPr>
        <w:rFonts w:hint="eastAsia" w:ascii="仿宋_GB2312" w:hAnsi="仿宋_GB2312" w:eastAsia="仿宋_GB2312" w:cs="仿宋_GB2312"/>
        <w:b/>
        <w:color w:val="000000"/>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B424">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singleLevel"/>
    <w:tmpl w:val="A735E4DF"/>
    <w:lvl w:ilvl="0" w:tentative="0">
      <w:start w:val="2"/>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92DD599"/>
    <w:multiLevelType w:val="singleLevel"/>
    <w:tmpl w:val="792DD599"/>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s>
  <w:rsids>
    <w:rsidRoot w:val="00172A27"/>
    <w:rsid w:val="00176B69"/>
    <w:rsid w:val="0022317B"/>
    <w:rsid w:val="002F721C"/>
    <w:rsid w:val="00302DB5"/>
    <w:rsid w:val="00302F3A"/>
    <w:rsid w:val="005607D6"/>
    <w:rsid w:val="00653222"/>
    <w:rsid w:val="00691F7C"/>
    <w:rsid w:val="006D5ADA"/>
    <w:rsid w:val="00724BD4"/>
    <w:rsid w:val="007C6E94"/>
    <w:rsid w:val="008838A8"/>
    <w:rsid w:val="008B7770"/>
    <w:rsid w:val="00AE7E0C"/>
    <w:rsid w:val="00B8090B"/>
    <w:rsid w:val="00C34543"/>
    <w:rsid w:val="00CC5E8F"/>
    <w:rsid w:val="00D00EB5"/>
    <w:rsid w:val="00E8570D"/>
    <w:rsid w:val="00EB06B4"/>
    <w:rsid w:val="00F30554"/>
    <w:rsid w:val="017B2147"/>
    <w:rsid w:val="01DA2DE2"/>
    <w:rsid w:val="021138F7"/>
    <w:rsid w:val="023E3C6A"/>
    <w:rsid w:val="0278442B"/>
    <w:rsid w:val="028D5673"/>
    <w:rsid w:val="029D4BEB"/>
    <w:rsid w:val="02D346A3"/>
    <w:rsid w:val="02EB6F0D"/>
    <w:rsid w:val="02FF7358"/>
    <w:rsid w:val="038500F8"/>
    <w:rsid w:val="038863C7"/>
    <w:rsid w:val="03A9557F"/>
    <w:rsid w:val="04294F27"/>
    <w:rsid w:val="043E163C"/>
    <w:rsid w:val="04701D1E"/>
    <w:rsid w:val="04A27F57"/>
    <w:rsid w:val="04E034BC"/>
    <w:rsid w:val="052828BB"/>
    <w:rsid w:val="05C949EE"/>
    <w:rsid w:val="05F23A3F"/>
    <w:rsid w:val="05F94BA8"/>
    <w:rsid w:val="06341F34"/>
    <w:rsid w:val="06670E60"/>
    <w:rsid w:val="067A3D93"/>
    <w:rsid w:val="068727A0"/>
    <w:rsid w:val="06CA6EB8"/>
    <w:rsid w:val="07063EDC"/>
    <w:rsid w:val="073835B2"/>
    <w:rsid w:val="075705A1"/>
    <w:rsid w:val="07686C15"/>
    <w:rsid w:val="076958CF"/>
    <w:rsid w:val="079C6BAA"/>
    <w:rsid w:val="07AF3996"/>
    <w:rsid w:val="08091FA7"/>
    <w:rsid w:val="090B10A0"/>
    <w:rsid w:val="09210464"/>
    <w:rsid w:val="09313630"/>
    <w:rsid w:val="0A1B1122"/>
    <w:rsid w:val="0A2E7496"/>
    <w:rsid w:val="0A3F6D80"/>
    <w:rsid w:val="0A466107"/>
    <w:rsid w:val="0A941F2B"/>
    <w:rsid w:val="0AAD73BC"/>
    <w:rsid w:val="0AB93487"/>
    <w:rsid w:val="0ACE02C5"/>
    <w:rsid w:val="0AF30600"/>
    <w:rsid w:val="0AF7395A"/>
    <w:rsid w:val="0B5E378F"/>
    <w:rsid w:val="0B93650C"/>
    <w:rsid w:val="0BA10DDD"/>
    <w:rsid w:val="0BDA1536"/>
    <w:rsid w:val="0BDD422F"/>
    <w:rsid w:val="0C425774"/>
    <w:rsid w:val="0C7D4058"/>
    <w:rsid w:val="0C7D6C11"/>
    <w:rsid w:val="0CAD06C0"/>
    <w:rsid w:val="0CB40654"/>
    <w:rsid w:val="0D7151A6"/>
    <w:rsid w:val="0DBD0BDC"/>
    <w:rsid w:val="0DE02F17"/>
    <w:rsid w:val="0E053042"/>
    <w:rsid w:val="0E236E8B"/>
    <w:rsid w:val="0EBA46A3"/>
    <w:rsid w:val="0EBB2DAD"/>
    <w:rsid w:val="0F31382A"/>
    <w:rsid w:val="0F531ACB"/>
    <w:rsid w:val="0F6F4854"/>
    <w:rsid w:val="0F9F0794"/>
    <w:rsid w:val="0FBE1FCA"/>
    <w:rsid w:val="10284C2D"/>
    <w:rsid w:val="103E486A"/>
    <w:rsid w:val="105F12C2"/>
    <w:rsid w:val="106D5B52"/>
    <w:rsid w:val="1090350E"/>
    <w:rsid w:val="10944070"/>
    <w:rsid w:val="10A6372F"/>
    <w:rsid w:val="10DA535D"/>
    <w:rsid w:val="110D2AFF"/>
    <w:rsid w:val="111A7AF4"/>
    <w:rsid w:val="11553800"/>
    <w:rsid w:val="115A7068"/>
    <w:rsid w:val="11DF30C9"/>
    <w:rsid w:val="11F117DD"/>
    <w:rsid w:val="12554741"/>
    <w:rsid w:val="126B2BC5"/>
    <w:rsid w:val="12753A2E"/>
    <w:rsid w:val="129325F3"/>
    <w:rsid w:val="12FA3B2F"/>
    <w:rsid w:val="132C74B1"/>
    <w:rsid w:val="13431F92"/>
    <w:rsid w:val="136E2BA5"/>
    <w:rsid w:val="137D5290"/>
    <w:rsid w:val="13E11194"/>
    <w:rsid w:val="14031B19"/>
    <w:rsid w:val="144A391D"/>
    <w:rsid w:val="149434CF"/>
    <w:rsid w:val="14BC5944"/>
    <w:rsid w:val="14F02B8D"/>
    <w:rsid w:val="150E5893"/>
    <w:rsid w:val="151148EB"/>
    <w:rsid w:val="15133F2C"/>
    <w:rsid w:val="1551165A"/>
    <w:rsid w:val="15951074"/>
    <w:rsid w:val="15C3657D"/>
    <w:rsid w:val="15CE295E"/>
    <w:rsid w:val="16354792"/>
    <w:rsid w:val="163D1F3A"/>
    <w:rsid w:val="16414AC9"/>
    <w:rsid w:val="165076C7"/>
    <w:rsid w:val="173619DD"/>
    <w:rsid w:val="17433839"/>
    <w:rsid w:val="174D31CB"/>
    <w:rsid w:val="188350F6"/>
    <w:rsid w:val="188C4113"/>
    <w:rsid w:val="191A46EE"/>
    <w:rsid w:val="19647370"/>
    <w:rsid w:val="19AF1F1B"/>
    <w:rsid w:val="19DE1C05"/>
    <w:rsid w:val="19F305F8"/>
    <w:rsid w:val="1A185E2C"/>
    <w:rsid w:val="1A1E1F46"/>
    <w:rsid w:val="1A3C6E09"/>
    <w:rsid w:val="1A657CD8"/>
    <w:rsid w:val="1AA97D25"/>
    <w:rsid w:val="1AB80106"/>
    <w:rsid w:val="1B13501B"/>
    <w:rsid w:val="1B215299"/>
    <w:rsid w:val="1B87260E"/>
    <w:rsid w:val="1B9229DE"/>
    <w:rsid w:val="1C0C5403"/>
    <w:rsid w:val="1C511068"/>
    <w:rsid w:val="1CB03FE0"/>
    <w:rsid w:val="1CD07137"/>
    <w:rsid w:val="1CF12CD2"/>
    <w:rsid w:val="1D3772E3"/>
    <w:rsid w:val="1D3F5364"/>
    <w:rsid w:val="1D5F0C97"/>
    <w:rsid w:val="1D612646"/>
    <w:rsid w:val="1D9C6C71"/>
    <w:rsid w:val="1DD02C25"/>
    <w:rsid w:val="1E6366BC"/>
    <w:rsid w:val="1E7E7378"/>
    <w:rsid w:val="1E892D3B"/>
    <w:rsid w:val="1F1E0D0C"/>
    <w:rsid w:val="1F636DD8"/>
    <w:rsid w:val="1F8615BF"/>
    <w:rsid w:val="1F93095F"/>
    <w:rsid w:val="1FB449F5"/>
    <w:rsid w:val="1FC01B05"/>
    <w:rsid w:val="1FF20E13"/>
    <w:rsid w:val="20220D88"/>
    <w:rsid w:val="202D724A"/>
    <w:rsid w:val="20432E03"/>
    <w:rsid w:val="205E123E"/>
    <w:rsid w:val="20B7104E"/>
    <w:rsid w:val="20CE712B"/>
    <w:rsid w:val="20E701EC"/>
    <w:rsid w:val="211663DC"/>
    <w:rsid w:val="2211172D"/>
    <w:rsid w:val="223E69E3"/>
    <w:rsid w:val="22456F98"/>
    <w:rsid w:val="22A243CB"/>
    <w:rsid w:val="232C1EE7"/>
    <w:rsid w:val="23610B8C"/>
    <w:rsid w:val="236F3A49"/>
    <w:rsid w:val="24080C27"/>
    <w:rsid w:val="241D716E"/>
    <w:rsid w:val="243170E3"/>
    <w:rsid w:val="243E45C7"/>
    <w:rsid w:val="2483647E"/>
    <w:rsid w:val="25262F8B"/>
    <w:rsid w:val="25C1521B"/>
    <w:rsid w:val="25CC7C14"/>
    <w:rsid w:val="2613091A"/>
    <w:rsid w:val="26404A78"/>
    <w:rsid w:val="265909F3"/>
    <w:rsid w:val="26E81DCB"/>
    <w:rsid w:val="27621A0B"/>
    <w:rsid w:val="279E7B84"/>
    <w:rsid w:val="27B103DE"/>
    <w:rsid w:val="28024E14"/>
    <w:rsid w:val="285445B2"/>
    <w:rsid w:val="28D24D9C"/>
    <w:rsid w:val="28FE7045"/>
    <w:rsid w:val="2916341D"/>
    <w:rsid w:val="2941798C"/>
    <w:rsid w:val="29476BCC"/>
    <w:rsid w:val="294C5129"/>
    <w:rsid w:val="295C70D0"/>
    <w:rsid w:val="298A7967"/>
    <w:rsid w:val="2A7F386F"/>
    <w:rsid w:val="2A8F70B0"/>
    <w:rsid w:val="2AE43776"/>
    <w:rsid w:val="2B1D5459"/>
    <w:rsid w:val="2C895C20"/>
    <w:rsid w:val="2D141CF6"/>
    <w:rsid w:val="2D984126"/>
    <w:rsid w:val="2DB048E5"/>
    <w:rsid w:val="2DCF6290"/>
    <w:rsid w:val="2DD01EDA"/>
    <w:rsid w:val="2E0A4375"/>
    <w:rsid w:val="2E6740D2"/>
    <w:rsid w:val="2E9574DA"/>
    <w:rsid w:val="2EA119DB"/>
    <w:rsid w:val="2ED8288A"/>
    <w:rsid w:val="300246FB"/>
    <w:rsid w:val="30066860"/>
    <w:rsid w:val="304C62DA"/>
    <w:rsid w:val="30793AE8"/>
    <w:rsid w:val="30C628C5"/>
    <w:rsid w:val="31241EB0"/>
    <w:rsid w:val="319B3695"/>
    <w:rsid w:val="31AF5071"/>
    <w:rsid w:val="31DA4319"/>
    <w:rsid w:val="32004116"/>
    <w:rsid w:val="32332253"/>
    <w:rsid w:val="324271A8"/>
    <w:rsid w:val="32B15339"/>
    <w:rsid w:val="333F226C"/>
    <w:rsid w:val="33C26030"/>
    <w:rsid w:val="342E3E37"/>
    <w:rsid w:val="34C603ED"/>
    <w:rsid w:val="34DF14AF"/>
    <w:rsid w:val="35201A23"/>
    <w:rsid w:val="352E65EA"/>
    <w:rsid w:val="35843E04"/>
    <w:rsid w:val="35B540D6"/>
    <w:rsid w:val="35EF65E1"/>
    <w:rsid w:val="361938E0"/>
    <w:rsid w:val="36585F94"/>
    <w:rsid w:val="36903EA0"/>
    <w:rsid w:val="36C144C3"/>
    <w:rsid w:val="36EE3C2B"/>
    <w:rsid w:val="37B45088"/>
    <w:rsid w:val="37FC42F0"/>
    <w:rsid w:val="381A338C"/>
    <w:rsid w:val="385B429C"/>
    <w:rsid w:val="386046B4"/>
    <w:rsid w:val="388C7CC2"/>
    <w:rsid w:val="38A45E3B"/>
    <w:rsid w:val="38B92676"/>
    <w:rsid w:val="38E1635E"/>
    <w:rsid w:val="3950297B"/>
    <w:rsid w:val="39B20761"/>
    <w:rsid w:val="39C062A2"/>
    <w:rsid w:val="39F1311E"/>
    <w:rsid w:val="39F257E0"/>
    <w:rsid w:val="3A1F1997"/>
    <w:rsid w:val="3A6955BC"/>
    <w:rsid w:val="3B096510"/>
    <w:rsid w:val="3B414529"/>
    <w:rsid w:val="3B47240E"/>
    <w:rsid w:val="3B7C2F21"/>
    <w:rsid w:val="3B8A41D3"/>
    <w:rsid w:val="3BC00DC4"/>
    <w:rsid w:val="3BF07AFD"/>
    <w:rsid w:val="3C651D50"/>
    <w:rsid w:val="3C7D47D0"/>
    <w:rsid w:val="3CED4C1D"/>
    <w:rsid w:val="3CF655E7"/>
    <w:rsid w:val="3CF7310E"/>
    <w:rsid w:val="3D6715E4"/>
    <w:rsid w:val="3DA54985"/>
    <w:rsid w:val="3E103B9E"/>
    <w:rsid w:val="3E2829E9"/>
    <w:rsid w:val="3E3A3803"/>
    <w:rsid w:val="3E5113D8"/>
    <w:rsid w:val="3EC02C34"/>
    <w:rsid w:val="3F1B30E3"/>
    <w:rsid w:val="3F996AB6"/>
    <w:rsid w:val="3F9E2D7B"/>
    <w:rsid w:val="3FA7064E"/>
    <w:rsid w:val="3FB452E6"/>
    <w:rsid w:val="3FB97B2C"/>
    <w:rsid w:val="3FF744E4"/>
    <w:rsid w:val="40182D6D"/>
    <w:rsid w:val="403D54CD"/>
    <w:rsid w:val="406B3BF6"/>
    <w:rsid w:val="408028ED"/>
    <w:rsid w:val="41212AAF"/>
    <w:rsid w:val="4178455B"/>
    <w:rsid w:val="419F354F"/>
    <w:rsid w:val="41A4522E"/>
    <w:rsid w:val="41B873F1"/>
    <w:rsid w:val="41BB6E00"/>
    <w:rsid w:val="41CF3C5E"/>
    <w:rsid w:val="41FB71FC"/>
    <w:rsid w:val="42625E65"/>
    <w:rsid w:val="426A68F1"/>
    <w:rsid w:val="426B29F2"/>
    <w:rsid w:val="42754E3B"/>
    <w:rsid w:val="42ED38B0"/>
    <w:rsid w:val="42F00D2B"/>
    <w:rsid w:val="436A288B"/>
    <w:rsid w:val="439818D4"/>
    <w:rsid w:val="440166F9"/>
    <w:rsid w:val="442716E3"/>
    <w:rsid w:val="44623B29"/>
    <w:rsid w:val="448B1C16"/>
    <w:rsid w:val="448C332D"/>
    <w:rsid w:val="44CB7E92"/>
    <w:rsid w:val="44D53D34"/>
    <w:rsid w:val="44FF34A7"/>
    <w:rsid w:val="4551727C"/>
    <w:rsid w:val="456B6294"/>
    <w:rsid w:val="45824D6D"/>
    <w:rsid w:val="45E82159"/>
    <w:rsid w:val="45EC22B6"/>
    <w:rsid w:val="460C19D8"/>
    <w:rsid w:val="461B4F91"/>
    <w:rsid w:val="466510E8"/>
    <w:rsid w:val="46767799"/>
    <w:rsid w:val="46A43CC8"/>
    <w:rsid w:val="475036EC"/>
    <w:rsid w:val="476304E5"/>
    <w:rsid w:val="476E1B59"/>
    <w:rsid w:val="47AE4A99"/>
    <w:rsid w:val="48407E8B"/>
    <w:rsid w:val="484E644F"/>
    <w:rsid w:val="48941C0A"/>
    <w:rsid w:val="48AE683B"/>
    <w:rsid w:val="48EE1835"/>
    <w:rsid w:val="48EF1D1A"/>
    <w:rsid w:val="48F03833"/>
    <w:rsid w:val="492204E6"/>
    <w:rsid w:val="496446FD"/>
    <w:rsid w:val="4A183041"/>
    <w:rsid w:val="4A1B7D0B"/>
    <w:rsid w:val="4A301A0D"/>
    <w:rsid w:val="4A304D72"/>
    <w:rsid w:val="4A31001B"/>
    <w:rsid w:val="4ADA08DD"/>
    <w:rsid w:val="4B294D10"/>
    <w:rsid w:val="4B2C0426"/>
    <w:rsid w:val="4B302190"/>
    <w:rsid w:val="4B374E12"/>
    <w:rsid w:val="4B6869B1"/>
    <w:rsid w:val="4B726EB7"/>
    <w:rsid w:val="4BA17322"/>
    <w:rsid w:val="4C0D05F0"/>
    <w:rsid w:val="4C277DE9"/>
    <w:rsid w:val="4C6063F0"/>
    <w:rsid w:val="4C7D362F"/>
    <w:rsid w:val="4CCF5CE0"/>
    <w:rsid w:val="4CFD207A"/>
    <w:rsid w:val="4D237C5B"/>
    <w:rsid w:val="4DB33731"/>
    <w:rsid w:val="4DB34E9F"/>
    <w:rsid w:val="4E040F77"/>
    <w:rsid w:val="4E5443CF"/>
    <w:rsid w:val="4F0478A8"/>
    <w:rsid w:val="4F4A1E9C"/>
    <w:rsid w:val="4F570614"/>
    <w:rsid w:val="4F5A2B8D"/>
    <w:rsid w:val="4F7A3E56"/>
    <w:rsid w:val="503D29A9"/>
    <w:rsid w:val="5051384E"/>
    <w:rsid w:val="5086682B"/>
    <w:rsid w:val="50932863"/>
    <w:rsid w:val="50B27620"/>
    <w:rsid w:val="50C64757"/>
    <w:rsid w:val="50E21215"/>
    <w:rsid w:val="51801680"/>
    <w:rsid w:val="524B7D2C"/>
    <w:rsid w:val="525E7F64"/>
    <w:rsid w:val="52707792"/>
    <w:rsid w:val="528B597C"/>
    <w:rsid w:val="52B77B4B"/>
    <w:rsid w:val="53C77F81"/>
    <w:rsid w:val="545223DC"/>
    <w:rsid w:val="54576B14"/>
    <w:rsid w:val="54A219EB"/>
    <w:rsid w:val="54DC6786"/>
    <w:rsid w:val="551B0517"/>
    <w:rsid w:val="55CA45E9"/>
    <w:rsid w:val="55CE5FAF"/>
    <w:rsid w:val="55E47B47"/>
    <w:rsid w:val="560D6F51"/>
    <w:rsid w:val="568D4A8B"/>
    <w:rsid w:val="5787376C"/>
    <w:rsid w:val="57F12437"/>
    <w:rsid w:val="58340631"/>
    <w:rsid w:val="58346B6C"/>
    <w:rsid w:val="584307E1"/>
    <w:rsid w:val="586438F5"/>
    <w:rsid w:val="588621CE"/>
    <w:rsid w:val="588927B2"/>
    <w:rsid w:val="58A2012A"/>
    <w:rsid w:val="58AC03AC"/>
    <w:rsid w:val="58B3037A"/>
    <w:rsid w:val="58C42116"/>
    <w:rsid w:val="58FA6D51"/>
    <w:rsid w:val="59042B8F"/>
    <w:rsid w:val="598F3C15"/>
    <w:rsid w:val="59BA0EC5"/>
    <w:rsid w:val="5A1256BA"/>
    <w:rsid w:val="5AB51CCA"/>
    <w:rsid w:val="5AB57322"/>
    <w:rsid w:val="5AB86B82"/>
    <w:rsid w:val="5B3A093D"/>
    <w:rsid w:val="5B745BFD"/>
    <w:rsid w:val="5BC0596D"/>
    <w:rsid w:val="5BE5635E"/>
    <w:rsid w:val="5C03587B"/>
    <w:rsid w:val="5C3C13C1"/>
    <w:rsid w:val="5C4805D9"/>
    <w:rsid w:val="5DA53F1B"/>
    <w:rsid w:val="5DC63FF9"/>
    <w:rsid w:val="5E0771FD"/>
    <w:rsid w:val="5E2532CC"/>
    <w:rsid w:val="5FC627A0"/>
    <w:rsid w:val="5FD076A0"/>
    <w:rsid w:val="60676F46"/>
    <w:rsid w:val="60BE240D"/>
    <w:rsid w:val="60CC0666"/>
    <w:rsid w:val="61393910"/>
    <w:rsid w:val="61DA4AD9"/>
    <w:rsid w:val="61E16FA2"/>
    <w:rsid w:val="6280132C"/>
    <w:rsid w:val="629D4803"/>
    <w:rsid w:val="62AE498D"/>
    <w:rsid w:val="63D57455"/>
    <w:rsid w:val="63FD75D1"/>
    <w:rsid w:val="63FF44D2"/>
    <w:rsid w:val="64AB0CD1"/>
    <w:rsid w:val="64D84E1A"/>
    <w:rsid w:val="65675ED4"/>
    <w:rsid w:val="65CE0BF4"/>
    <w:rsid w:val="6683497C"/>
    <w:rsid w:val="66D77581"/>
    <w:rsid w:val="676E5CC7"/>
    <w:rsid w:val="67E14BAB"/>
    <w:rsid w:val="67EE0AE5"/>
    <w:rsid w:val="67F00702"/>
    <w:rsid w:val="67F71E56"/>
    <w:rsid w:val="67FE3E7A"/>
    <w:rsid w:val="68190258"/>
    <w:rsid w:val="68490CF8"/>
    <w:rsid w:val="684C44B3"/>
    <w:rsid w:val="68880F3A"/>
    <w:rsid w:val="6906636C"/>
    <w:rsid w:val="690F1726"/>
    <w:rsid w:val="69386CB3"/>
    <w:rsid w:val="69982932"/>
    <w:rsid w:val="6A2D5CB0"/>
    <w:rsid w:val="6ADC6EF9"/>
    <w:rsid w:val="6B480E55"/>
    <w:rsid w:val="6BB90159"/>
    <w:rsid w:val="6C111246"/>
    <w:rsid w:val="6C124248"/>
    <w:rsid w:val="6C6B059F"/>
    <w:rsid w:val="6C6B0957"/>
    <w:rsid w:val="6CA00B62"/>
    <w:rsid w:val="6CFE27E3"/>
    <w:rsid w:val="6D274D94"/>
    <w:rsid w:val="6D955447"/>
    <w:rsid w:val="6DD01AB0"/>
    <w:rsid w:val="6DD07C38"/>
    <w:rsid w:val="6DEB139F"/>
    <w:rsid w:val="6E5B5F50"/>
    <w:rsid w:val="6E77012F"/>
    <w:rsid w:val="6E7A30D3"/>
    <w:rsid w:val="6E8B3FD1"/>
    <w:rsid w:val="6E915043"/>
    <w:rsid w:val="6E9D5013"/>
    <w:rsid w:val="6EB9624D"/>
    <w:rsid w:val="6F4D02A4"/>
    <w:rsid w:val="6F8C6CB0"/>
    <w:rsid w:val="6F8F1800"/>
    <w:rsid w:val="6FDB7D0C"/>
    <w:rsid w:val="702F4391"/>
    <w:rsid w:val="706449CF"/>
    <w:rsid w:val="706B3710"/>
    <w:rsid w:val="706B4417"/>
    <w:rsid w:val="70784F6A"/>
    <w:rsid w:val="70B2470E"/>
    <w:rsid w:val="70F11666"/>
    <w:rsid w:val="71817101"/>
    <w:rsid w:val="71943263"/>
    <w:rsid w:val="71B80224"/>
    <w:rsid w:val="71BB2380"/>
    <w:rsid w:val="720B21A0"/>
    <w:rsid w:val="721D31DA"/>
    <w:rsid w:val="72775B5D"/>
    <w:rsid w:val="72C76A78"/>
    <w:rsid w:val="72E163D5"/>
    <w:rsid w:val="730651BF"/>
    <w:rsid w:val="737F0D78"/>
    <w:rsid w:val="73F502A6"/>
    <w:rsid w:val="7416564C"/>
    <w:rsid w:val="741C3C5E"/>
    <w:rsid w:val="7424043B"/>
    <w:rsid w:val="74DB588C"/>
    <w:rsid w:val="751540E3"/>
    <w:rsid w:val="7522171E"/>
    <w:rsid w:val="756B7C19"/>
    <w:rsid w:val="757762DF"/>
    <w:rsid w:val="76085468"/>
    <w:rsid w:val="764861AD"/>
    <w:rsid w:val="765A1D4D"/>
    <w:rsid w:val="76790114"/>
    <w:rsid w:val="76AD7DBE"/>
    <w:rsid w:val="772B58B2"/>
    <w:rsid w:val="77822AD2"/>
    <w:rsid w:val="77C20E5D"/>
    <w:rsid w:val="77E46041"/>
    <w:rsid w:val="7846297D"/>
    <w:rsid w:val="78526E6F"/>
    <w:rsid w:val="78753744"/>
    <w:rsid w:val="791E0B39"/>
    <w:rsid w:val="79487052"/>
    <w:rsid w:val="79800ADB"/>
    <w:rsid w:val="79E06FD9"/>
    <w:rsid w:val="7A2B3BCE"/>
    <w:rsid w:val="7AC3206E"/>
    <w:rsid w:val="7AFF6ACD"/>
    <w:rsid w:val="7B436E21"/>
    <w:rsid w:val="7B9854E0"/>
    <w:rsid w:val="7BA10B54"/>
    <w:rsid w:val="7C2E374F"/>
    <w:rsid w:val="7CAA6238"/>
    <w:rsid w:val="7D0F3580"/>
    <w:rsid w:val="7D957F29"/>
    <w:rsid w:val="7DA02855"/>
    <w:rsid w:val="7DC73E5B"/>
    <w:rsid w:val="7DC73F51"/>
    <w:rsid w:val="7E134C71"/>
    <w:rsid w:val="7EAD3051"/>
    <w:rsid w:val="7ECE131C"/>
    <w:rsid w:val="7F210F90"/>
    <w:rsid w:val="7FA24979"/>
    <w:rsid w:val="7FBC511D"/>
    <w:rsid w:val="7FC20D7E"/>
    <w:rsid w:val="7FD64E27"/>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autoRedefine/>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0"/>
    <w:pPr>
      <w:jc w:val="left"/>
    </w:pPr>
  </w:style>
  <w:style w:type="paragraph" w:styleId="7">
    <w:name w:val="Body Text"/>
    <w:basedOn w:val="1"/>
    <w:next w:val="8"/>
    <w:autoRedefine/>
    <w:qFormat/>
    <w:uiPriority w:val="0"/>
    <w:pPr>
      <w:spacing w:after="120"/>
    </w:pPr>
  </w:style>
  <w:style w:type="paragraph" w:styleId="8">
    <w:name w:val="header"/>
    <w:basedOn w:val="1"/>
    <w:next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Quote"/>
    <w:basedOn w:val="1"/>
    <w:next w:val="1"/>
    <w:unhideWhenUsed/>
    <w:qFormat/>
    <w:uiPriority w:val="99"/>
    <w:pPr>
      <w:spacing w:beforeLines="0" w:afterLines="0"/>
      <w:ind w:left="864" w:right="864"/>
      <w:jc w:val="center"/>
    </w:pPr>
    <w:rPr>
      <w:rFonts w:hint="default" w:ascii="Times New Roman" w:hAnsi="Times New Roman"/>
      <w:i/>
      <w:color w:val="auto"/>
      <w:sz w:val="21"/>
      <w:szCs w:val="21"/>
    </w:rPr>
  </w:style>
  <w:style w:type="paragraph" w:styleId="10">
    <w:name w:val="Body Text Indent"/>
    <w:basedOn w:val="1"/>
    <w:next w:val="11"/>
    <w:link w:val="39"/>
    <w:autoRedefine/>
    <w:qFormat/>
    <w:uiPriority w:val="0"/>
    <w:pPr>
      <w:spacing w:after="120"/>
      <w:ind w:left="420" w:leftChars="200"/>
    </w:pPr>
  </w:style>
  <w:style w:type="paragraph" w:styleId="11">
    <w:name w:val="envelope return"/>
    <w:basedOn w:val="1"/>
    <w:autoRedefine/>
    <w:unhideWhenUsed/>
    <w:qFormat/>
    <w:uiPriority w:val="99"/>
    <w:pPr>
      <w:snapToGrid w:val="0"/>
      <w:ind w:firstLine="200"/>
    </w:pPr>
    <w:rPr>
      <w:rFonts w:ascii="Arial" w:hAnsi="Arial" w:cs="Arial"/>
      <w:szCs w:val="20"/>
    </w:rPr>
  </w:style>
  <w:style w:type="paragraph" w:styleId="12">
    <w:name w:val="Plain Text"/>
    <w:basedOn w:val="1"/>
    <w:link w:val="40"/>
    <w:autoRedefine/>
    <w:qFormat/>
    <w:uiPriority w:val="0"/>
    <w:rPr>
      <w:rFonts w:ascii="宋体" w:hAnsi="Courier New"/>
      <w:szCs w:val="20"/>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toc 1"/>
    <w:basedOn w:val="1"/>
    <w:next w:val="1"/>
    <w:autoRedefine/>
    <w:qFormat/>
    <w:uiPriority w:val="0"/>
  </w:style>
  <w:style w:type="paragraph" w:styleId="15">
    <w:name w:val="footnote text"/>
    <w:basedOn w:val="1"/>
    <w:autoRedefine/>
    <w:unhideWhenUsed/>
    <w:qFormat/>
    <w:uiPriority w:val="0"/>
    <w:pPr>
      <w:snapToGrid w:val="0"/>
      <w:jc w:val="left"/>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next w:val="1"/>
    <w:autoRedefine/>
    <w:qFormat/>
    <w:uiPriority w:val="0"/>
    <w:pPr>
      <w:tabs>
        <w:tab w:val="left" w:pos="450"/>
      </w:tabs>
      <w:ind w:left="450" w:hanging="450"/>
      <w:jc w:val="center"/>
    </w:pPr>
    <w:rPr>
      <w:rFonts w:ascii="黑体" w:eastAsia="黑体"/>
      <w:sz w:val="32"/>
      <w:szCs w:val="20"/>
    </w:rPr>
  </w:style>
  <w:style w:type="paragraph" w:styleId="18">
    <w:name w:val="Body Text First Indent"/>
    <w:basedOn w:val="7"/>
    <w:autoRedefine/>
    <w:qFormat/>
    <w:uiPriority w:val="99"/>
    <w:pPr>
      <w:ind w:firstLine="420" w:firstLineChars="100"/>
    </w:pPr>
  </w:style>
  <w:style w:type="paragraph" w:styleId="19">
    <w:name w:val="Body Text First Indent 2"/>
    <w:basedOn w:val="10"/>
    <w:next w:val="1"/>
    <w:autoRedefine/>
    <w:qFormat/>
    <w:uiPriority w:val="0"/>
    <w:pPr>
      <w:ind w:firstLine="420" w:firstLineChars="200"/>
    </w:pPr>
    <w:rPr>
      <w:rFonts w:ascii="Calibri" w:hAnsi="Calibri"/>
      <w:szCs w:val="2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FollowedHyperlink"/>
    <w:basedOn w:val="22"/>
    <w:autoRedefine/>
    <w:qFormat/>
    <w:uiPriority w:val="0"/>
    <w:rPr>
      <w:color w:val="555555"/>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Variable"/>
    <w:basedOn w:val="22"/>
    <w:autoRedefine/>
    <w:qFormat/>
    <w:uiPriority w:val="0"/>
  </w:style>
  <w:style w:type="character" w:styleId="28">
    <w:name w:val="Hyperlink"/>
    <w:basedOn w:val="22"/>
    <w:autoRedefine/>
    <w:unhideWhenUsed/>
    <w:qFormat/>
    <w:uiPriority w:val="99"/>
    <w:rPr>
      <w:rFonts w:ascii="Times New Roman" w:hAnsi="Times New Roman" w:eastAsia="宋体" w:cs="Times New Roman"/>
      <w:color w:val="0000FF"/>
      <w:kern w:val="2"/>
      <w:sz w:val="21"/>
      <w:szCs w:val="24"/>
      <w:u w:val="single"/>
      <w:lang w:eastAsia="zh-CN"/>
    </w:rPr>
  </w:style>
  <w:style w:type="character" w:styleId="29">
    <w:name w:val="HTML Cite"/>
    <w:basedOn w:val="22"/>
    <w:autoRedefine/>
    <w:qFormat/>
    <w:uiPriority w:val="0"/>
  </w:style>
  <w:style w:type="character" w:styleId="30">
    <w:name w:val="footnote reference"/>
    <w:autoRedefine/>
    <w:unhideWhenUsed/>
    <w:qFormat/>
    <w:uiPriority w:val="0"/>
    <w:rPr>
      <w:vertAlign w:val="superscript"/>
    </w:rPr>
  </w:style>
  <w:style w:type="paragraph" w:customStyle="1" w:styleId="31">
    <w:name w:val="引用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2">
    <w:name w:val="引用1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3">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autoRedefine/>
    <w:qFormat/>
    <w:uiPriority w:val="0"/>
    <w:rPr>
      <w:rFonts w:asciiTheme="minorHAnsi" w:hAnsiTheme="minorHAnsi" w:eastAsiaTheme="minorEastAsia" w:cstheme="minorBidi"/>
      <w:lang w:val="en-US" w:eastAsia="zh-CN" w:bidi="ar-SA"/>
    </w:rPr>
  </w:style>
  <w:style w:type="character" w:customStyle="1" w:styleId="35">
    <w:name w:val="font61"/>
    <w:basedOn w:val="22"/>
    <w:autoRedefine/>
    <w:qFormat/>
    <w:uiPriority w:val="0"/>
    <w:rPr>
      <w:rFonts w:hint="eastAsia" w:ascii="宋体" w:hAnsi="宋体" w:eastAsia="宋体" w:cs="宋体"/>
      <w:color w:val="000000"/>
      <w:sz w:val="20"/>
      <w:szCs w:val="20"/>
      <w:u w:val="none"/>
    </w:rPr>
  </w:style>
  <w:style w:type="character" w:customStyle="1" w:styleId="36">
    <w:name w:val="font141"/>
    <w:basedOn w:val="22"/>
    <w:autoRedefine/>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cs="宋体"/>
      <w:b w:val="0"/>
      <w:bCs w:val="0"/>
      <w:kern w:val="0"/>
      <w:szCs w:val="20"/>
    </w:rPr>
  </w:style>
  <w:style w:type="paragraph" w:customStyle="1" w:styleId="38">
    <w:name w:val="列表段落1"/>
    <w:basedOn w:val="1"/>
    <w:autoRedefine/>
    <w:qFormat/>
    <w:uiPriority w:val="1"/>
    <w:pPr>
      <w:ind w:left="235" w:hanging="527"/>
    </w:pPr>
    <w:rPr>
      <w:rFonts w:ascii="宋体" w:hAnsi="宋体" w:eastAsia="宋体" w:cs="宋体"/>
      <w:lang w:val="zh-CN" w:bidi="zh-CN"/>
    </w:rPr>
  </w:style>
  <w:style w:type="character" w:customStyle="1" w:styleId="39">
    <w:name w:val="正文文本缩进 字符"/>
    <w:link w:val="10"/>
    <w:autoRedefine/>
    <w:qFormat/>
    <w:uiPriority w:val="0"/>
  </w:style>
  <w:style w:type="character" w:customStyle="1" w:styleId="40">
    <w:name w:val="纯文本 字符"/>
    <w:link w:val="12"/>
    <w:autoRedefine/>
    <w:qFormat/>
    <w:uiPriority w:val="0"/>
    <w:rPr>
      <w:rFonts w:ascii="宋体" w:hAnsi="Courier New"/>
      <w:szCs w:val="20"/>
    </w:rPr>
  </w:style>
  <w:style w:type="paragraph" w:customStyle="1" w:styleId="41">
    <w:name w:val="Table Paragraph"/>
    <w:basedOn w:val="1"/>
    <w:autoRedefine/>
    <w:qFormat/>
    <w:uiPriority w:val="1"/>
    <w:rPr>
      <w:rFonts w:ascii="宋体" w:hAnsi="宋体" w:eastAsia="宋体" w:cs="宋体"/>
    </w:rPr>
  </w:style>
  <w:style w:type="table" w:customStyle="1" w:styleId="42">
    <w:name w:val="Table Normal"/>
    <w:autoRedefine/>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autoRedefine/>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21"/>
    <w:basedOn w:val="22"/>
    <w:autoRedefine/>
    <w:qFormat/>
    <w:uiPriority w:val="0"/>
    <w:rPr>
      <w:rFonts w:hint="default" w:ascii="Arial" w:hAnsi="Arial" w:cs="Arial"/>
      <w:color w:val="000000"/>
      <w:sz w:val="22"/>
      <w:szCs w:val="22"/>
      <w:u w:val="none"/>
    </w:rPr>
  </w:style>
  <w:style w:type="paragraph" w:customStyle="1" w:styleId="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font51"/>
    <w:basedOn w:val="22"/>
    <w:qFormat/>
    <w:uiPriority w:val="0"/>
    <w:rPr>
      <w:rFonts w:hint="eastAsia" w:ascii="宋体" w:hAnsi="宋体" w:eastAsia="宋体" w:cs="宋体"/>
      <w:color w:val="000000"/>
      <w:sz w:val="24"/>
      <w:szCs w:val="24"/>
      <w:u w:val="none"/>
    </w:rPr>
  </w:style>
  <w:style w:type="character" w:customStyle="1" w:styleId="47">
    <w:name w:val="font41"/>
    <w:basedOn w:val="2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9672</Words>
  <Characters>10391</Characters>
  <Lines>1</Lines>
  <Paragraphs>1</Paragraphs>
  <TotalTime>0</TotalTime>
  <ScaleCrop>false</ScaleCrop>
  <LinksUpToDate>false</LinksUpToDate>
  <CharactersWithSpaces>15014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2025-06-18T07:19:00Z</cp:lastPrinted>
  <dcterms:modified xsi:type="dcterms:W3CDTF">2025-09-25T15:35:54Z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124DEB1685A34F4198E6A10991B1381E_13</vt:lpwstr>
  </property>
  <property fmtid="{D5CDD505-2E9C-101B-9397-08002B2CF9AE}" pid="4" name="KSOTemplateDocerSaveRecord">
    <vt:lpwstr>eyJoZGlkIjoiNGRiN2FjM2IwNjUxZWRiZTZhMTg1YTdmYzFhZWExNzgiLCJ1c2VySWQiOiI0MDU4NDYwODgifQ==</vt:lpwstr>
  </property>
</Properties>
</file>